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A-LEVEL CHEMISTRY</w:t>
      </w: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1</w:t>
      </w: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9</w:t>
      </w: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105 marks</w:t>
      </w: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2 hours</w:t>
      </w: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8254DC" w:rsidTr="00BC4A58">
        <w:tc>
          <w:tcPr>
            <w:tcW w:w="1526" w:type="dxa"/>
            <w:tcBorders>
              <w:top w:val="nil"/>
              <w:left w:val="nil"/>
              <w:bottom w:val="nil"/>
              <w:right w:val="single" w:sz="4" w:space="0" w:color="auto"/>
            </w:tcBorders>
          </w:tcPr>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8254DC" w:rsidTr="00BC4A58">
        <w:tc>
          <w:tcPr>
            <w:tcW w:w="1526" w:type="dxa"/>
            <w:tcBorders>
              <w:top w:val="nil"/>
              <w:left w:val="nil"/>
              <w:bottom w:val="nil"/>
              <w:right w:val="single" w:sz="4" w:space="0" w:color="auto"/>
            </w:tcBorders>
          </w:tcPr>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……../105</w:t>
            </w:r>
            <w:r>
              <w:rPr>
                <w:rFonts w:ascii="Verdana" w:hAnsi="Verdana" w:cs="Times New Roman"/>
                <w:sz w:val="24"/>
                <w:szCs w:val="24"/>
              </w:rPr>
              <w:tab/>
              <w:t>……....%</w:t>
            </w:r>
            <w:r>
              <w:rPr>
                <w:rFonts w:ascii="Verdana" w:hAnsi="Verdana" w:cs="Times New Roman"/>
                <w:sz w:val="24"/>
                <w:szCs w:val="24"/>
              </w:rPr>
              <w:tab/>
              <w:t>Grade ………</w:t>
            </w:r>
          </w:p>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8254DC" w:rsidRDefault="008254DC" w:rsidP="00BC4A5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8254DC" w:rsidRDefault="008254DC" w:rsidP="008254D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8254DC" w:rsidRDefault="008254DC" w:rsidP="008254DC">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8254DC" w:rsidRDefault="008254DC" w:rsidP="008254DC">
      <w:pPr>
        <w:rPr>
          <w:b/>
        </w:rPr>
      </w:pPr>
    </w:p>
    <w:p w:rsidR="008254DC" w:rsidRDefault="008254DC" w:rsidP="008254DC">
      <w:pPr>
        <w:rPr>
          <w:b/>
        </w:rPr>
      </w:pPr>
      <w:r>
        <w:rPr>
          <w:b/>
        </w:rPr>
        <w:br w:type="page"/>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b/>
          <w:bCs/>
          <w:lang w:val="en-US"/>
        </w:rPr>
      </w:pP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Pr>
          <w:rFonts w:ascii="Arial" w:hAnsi="Arial" w:cs="Arial"/>
          <w:b/>
          <w:bCs/>
          <w:lang w:val="en-US"/>
        </w:rPr>
        <w:tab/>
      </w:r>
      <w:r>
        <w:rPr>
          <w:rFonts w:ascii="Arial" w:hAnsi="Arial" w:cs="Arial"/>
          <w:lang w:val="en-US"/>
        </w:rPr>
        <w:t>This table contains some values of lattice dissociation enthalpies.</w:t>
      </w:r>
    </w:p>
    <w:p w:rsidR="008254DC" w:rsidRDefault="008254DC" w:rsidP="008254D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4185"/>
        <w:gridCol w:w="990"/>
        <w:gridCol w:w="990"/>
        <w:gridCol w:w="990"/>
      </w:tblGrid>
      <w:tr w:rsidR="008254DC" w:rsidTr="00BC4A58">
        <w:tblPrEx>
          <w:tblCellMar>
            <w:top w:w="0" w:type="dxa"/>
            <w:bottom w:w="0" w:type="dxa"/>
          </w:tblCellMar>
        </w:tblPrEx>
        <w:tc>
          <w:tcPr>
            <w:tcW w:w="65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1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Compound</w:t>
            </w:r>
          </w:p>
        </w:tc>
        <w:tc>
          <w:tcPr>
            <w:tcW w:w="990"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MgCl</w:t>
            </w:r>
            <w:r>
              <w:rPr>
                <w:rFonts w:ascii="Arial" w:hAnsi="Arial" w:cs="Arial"/>
                <w:sz w:val="14"/>
                <w:szCs w:val="14"/>
                <w:vertAlign w:val="subscript"/>
                <w:lang w:val="en-US"/>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CaCl</w:t>
            </w:r>
            <w:r>
              <w:rPr>
                <w:rFonts w:ascii="Arial" w:hAnsi="Arial" w:cs="Arial"/>
                <w:sz w:val="14"/>
                <w:szCs w:val="14"/>
                <w:vertAlign w:val="subscript"/>
                <w:lang w:val="en-US"/>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MgO</w:t>
            </w:r>
            <w:proofErr w:type="spellEnd"/>
          </w:p>
        </w:tc>
      </w:tr>
      <w:tr w:rsidR="008254DC" w:rsidTr="00BC4A58">
        <w:tblPrEx>
          <w:tblCellMar>
            <w:top w:w="0" w:type="dxa"/>
            <w:bottom w:w="0" w:type="dxa"/>
          </w:tblCellMar>
        </w:tblPrEx>
        <w:tc>
          <w:tcPr>
            <w:tcW w:w="65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1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rPr>
                <w:rFonts w:ascii="Arial" w:hAnsi="Arial" w:cs="Arial"/>
                <w:b/>
                <w:bCs/>
                <w:sz w:val="14"/>
                <w:szCs w:val="14"/>
                <w:vertAlign w:val="superscript"/>
                <w:lang w:val="en-US"/>
              </w:rPr>
            </w:pPr>
            <w:r>
              <w:rPr>
                <w:rFonts w:ascii="Arial" w:hAnsi="Arial" w:cs="Arial"/>
                <w:b/>
                <w:bCs/>
                <w:lang w:val="en-US"/>
              </w:rPr>
              <w:t>Lattice dissociation enthalpy / kJ mol</w:t>
            </w:r>
            <w:r>
              <w:rPr>
                <w:rFonts w:ascii="Arial" w:hAnsi="Arial" w:cs="Arial"/>
                <w:b/>
                <w:bCs/>
                <w:sz w:val="14"/>
                <w:szCs w:val="14"/>
                <w:vertAlign w:val="superscript"/>
                <w:lang w:val="en-US"/>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2493</w:t>
            </w:r>
          </w:p>
        </w:tc>
        <w:tc>
          <w:tcPr>
            <w:tcW w:w="990"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2237</w:t>
            </w:r>
          </w:p>
        </w:tc>
        <w:tc>
          <w:tcPr>
            <w:tcW w:w="990"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3889</w:t>
            </w:r>
          </w:p>
        </w:tc>
      </w:tr>
    </w:tbl>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an equation, including state symbols, for the reaction that has an enthalpy change equal to the lattice dissociation enthalpy of magnesium chloride.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the lattice dissociation enthalpy of magnesium chloride is greater than that of calcium chloride.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the lattice dissociation enthalpy of magnesium oxide is greater than that of magnesium chloride.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When magnesium chloride dissolves in water, the enthalpy of solution is −155 kJ mol</w:t>
      </w:r>
      <w:r>
        <w:rPr>
          <w:rFonts w:ascii="Arial" w:hAnsi="Arial" w:cs="Arial"/>
          <w:vertAlign w:val="superscript"/>
          <w:lang w:val="en-US"/>
        </w:rPr>
        <w:t>−1</w:t>
      </w:r>
      <w:r>
        <w:rPr>
          <w:rFonts w:ascii="Arial" w:hAnsi="Arial" w:cs="Arial"/>
          <w:lang w:val="en-US"/>
        </w:rPr>
        <w:t>.</w:t>
      </w:r>
      <w:r>
        <w:rPr>
          <w:rFonts w:ascii="Arial" w:hAnsi="Arial" w:cs="Arial"/>
          <w:lang w:val="en-US"/>
        </w:rPr>
        <w:br/>
        <w:t>The enthalpy of hydration of chloride ions is −364 kJ mol</w:t>
      </w:r>
      <w:r>
        <w:rPr>
          <w:rFonts w:ascii="Arial" w:hAnsi="Arial" w:cs="Arial"/>
          <w:sz w:val="14"/>
          <w:szCs w:val="14"/>
          <w:vertAlign w:val="superscript"/>
          <w:lang w:val="en-US"/>
        </w:rPr>
        <w:t>−1</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enthalpy of hydration of magnesium ions.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Pr>
          <w:rFonts w:ascii="Arial" w:hAnsi="Arial" w:cs="Arial"/>
          <w:b/>
          <w:bCs/>
          <w:sz w:val="20"/>
          <w:szCs w:val="20"/>
          <w:lang w:val="en-US"/>
        </w:rPr>
        <w:t>(3)</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Energy is released when a magnesium ion is hydrated because magnesium ions attract water molecules.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 magnesium ions attract water molecules.</w:t>
      </w:r>
      <w:r>
        <w:rPr>
          <w:rFonts w:ascii="Arial" w:hAnsi="Arial" w:cs="Arial"/>
          <w:lang w:val="en-US"/>
        </w:rPr>
        <w:br/>
        <w:t>You may use a labelled diagram to illustrate your answer.</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(f)      Suggest why a value for the enthalpy of solution of magnesium oxide is </w:t>
      </w:r>
      <w:r>
        <w:rPr>
          <w:rFonts w:ascii="Arial" w:hAnsi="Arial" w:cs="Arial"/>
          <w:b/>
          <w:bCs/>
          <w:lang w:val="en-US"/>
        </w:rPr>
        <w:t>not</w:t>
      </w:r>
      <w:r>
        <w:rPr>
          <w:rFonts w:ascii="Arial" w:hAnsi="Arial" w:cs="Arial"/>
          <w:lang w:val="en-US"/>
        </w:rPr>
        <w:t xml:space="preserve"> found in any data books.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p>
    <w:p w:rsidR="008254DC" w:rsidRDefault="008254DC">
      <w:pPr>
        <w:rPr>
          <w:rFonts w:ascii="Arial" w:hAnsi="Arial" w:cs="Arial"/>
          <w:b/>
          <w:bCs/>
          <w:lang w:val="en-US"/>
        </w:rPr>
      </w:pPr>
      <w:r>
        <w:rPr>
          <w:rFonts w:ascii="Arial" w:hAnsi="Arial" w:cs="Arial"/>
          <w:b/>
          <w:bCs/>
          <w:lang w:val="en-US"/>
        </w:rPr>
        <w:br w:type="page"/>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2.</w:t>
      </w:r>
      <w:r>
        <w:rPr>
          <w:rFonts w:ascii="Arial" w:hAnsi="Arial" w:cs="Arial"/>
          <w:b/>
          <w:bCs/>
          <w:lang w:val="en-US"/>
        </w:rPr>
        <w:tab/>
      </w:r>
      <w:r>
        <w:rPr>
          <w:rFonts w:ascii="Arial" w:hAnsi="Arial" w:cs="Arial"/>
          <w:lang w:val="en-US"/>
        </w:rPr>
        <w:t>The following equation shows the formation of ammonia.</w:t>
      </w:r>
    </w:p>
    <w:p w:rsidR="008254DC" w:rsidRDefault="008254DC" w:rsidP="008254D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65" w:type="dxa"/>
        <w:tblLayout w:type="fixed"/>
        <w:tblCellMar>
          <w:left w:w="0" w:type="dxa"/>
          <w:right w:w="0" w:type="dxa"/>
        </w:tblCellMar>
        <w:tblLook w:val="0000" w:firstRow="0" w:lastRow="0" w:firstColumn="0" w:lastColumn="0" w:noHBand="0" w:noVBand="0"/>
      </w:tblPr>
      <w:tblGrid>
        <w:gridCol w:w="1321"/>
        <w:gridCol w:w="372"/>
        <w:gridCol w:w="1331"/>
        <w:gridCol w:w="629"/>
        <w:gridCol w:w="1332"/>
      </w:tblGrid>
      <w:tr w:rsidR="008254DC" w:rsidTr="008254DC">
        <w:tblPrEx>
          <w:tblCellMar>
            <w:top w:w="0" w:type="dxa"/>
            <w:left w:w="0" w:type="dxa"/>
            <w:bottom w:w="0" w:type="dxa"/>
            <w:right w:w="0" w:type="dxa"/>
          </w:tblCellMar>
        </w:tblPrEx>
        <w:tc>
          <w:tcPr>
            <w:tcW w:w="1321"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152400" cy="371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Pr>
                <w:rFonts w:ascii="Arial" w:hAnsi="Arial" w:cs="Arial"/>
                <w:lang w:val="en-US"/>
              </w:rPr>
              <w:t>N</w:t>
            </w:r>
            <w:r>
              <w:rPr>
                <w:rFonts w:ascii="Arial" w:hAnsi="Arial" w:cs="Arial"/>
                <w:sz w:val="14"/>
                <w:szCs w:val="14"/>
                <w:vertAlign w:val="subscript"/>
                <w:lang w:val="en-US"/>
              </w:rPr>
              <w:t>2</w:t>
            </w:r>
            <w:r>
              <w:rPr>
                <w:rFonts w:ascii="Arial" w:hAnsi="Arial" w:cs="Arial"/>
                <w:lang w:val="en-US"/>
              </w:rPr>
              <w:t>(g)</w:t>
            </w:r>
          </w:p>
        </w:tc>
        <w:tc>
          <w:tcPr>
            <w:tcW w:w="372"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331"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152400" cy="37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(g)</w:t>
            </w:r>
          </w:p>
        </w:tc>
        <w:tc>
          <w:tcPr>
            <w:tcW w:w="629"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36195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76200"/>
                          </a:xfrm>
                          <a:prstGeom prst="rect">
                            <a:avLst/>
                          </a:prstGeom>
                          <a:noFill/>
                          <a:ln>
                            <a:noFill/>
                          </a:ln>
                        </pic:spPr>
                      </pic:pic>
                    </a:graphicData>
                  </a:graphic>
                </wp:inline>
              </w:drawing>
            </w:r>
          </w:p>
        </w:tc>
        <w:tc>
          <w:tcPr>
            <w:tcW w:w="1332"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NH</w:t>
            </w:r>
            <w:r>
              <w:rPr>
                <w:rFonts w:ascii="Arial" w:hAnsi="Arial" w:cs="Arial"/>
                <w:sz w:val="14"/>
                <w:szCs w:val="14"/>
                <w:vertAlign w:val="subscript"/>
                <w:lang w:val="en-US"/>
              </w:rPr>
              <w:t>3</w:t>
            </w:r>
            <w:r>
              <w:rPr>
                <w:rFonts w:ascii="Arial" w:hAnsi="Arial" w:cs="Arial"/>
                <w:lang w:val="en-US"/>
              </w:rPr>
              <w:t>(g)</w:t>
            </w:r>
          </w:p>
        </w:tc>
      </w:tr>
    </w:tbl>
    <w:p w:rsidR="008254DC" w:rsidRDefault="008254DC" w:rsidP="008254DC">
      <w:pPr>
        <w:widowControl w:val="0"/>
        <w:autoSpaceDE w:val="0"/>
        <w:autoSpaceDN w:val="0"/>
        <w:adjustRightInd w:val="0"/>
        <w:spacing w:after="0" w:line="240" w:lineRule="auto"/>
        <w:rPr>
          <w:rFonts w:ascii="Arial" w:hAnsi="Arial" w:cs="Arial"/>
          <w:sz w:val="16"/>
          <w:szCs w:val="16"/>
          <w:lang w:val="en-US"/>
        </w:rPr>
      </w:pPr>
    </w:p>
    <w:p w:rsidR="008254DC" w:rsidRDefault="008254DC" w:rsidP="008254D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graph shows how the free-energy change for this reaction varies with temperature above 240 K.</w:t>
      </w:r>
    </w:p>
    <w:p w:rsidR="008254DC" w:rsidRDefault="008254DC" w:rsidP="008254D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lang w:eastAsia="en-GB"/>
        </w:rPr>
        <w:drawing>
          <wp:inline distT="0" distB="0" distL="0" distR="0">
            <wp:extent cx="4886325" cy="298148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0091" cy="2983784"/>
                    </a:xfrm>
                    <a:prstGeom prst="rect">
                      <a:avLst/>
                    </a:prstGeom>
                    <a:noFill/>
                    <a:ln>
                      <a:noFill/>
                    </a:ln>
                  </pic:spPr>
                </pic:pic>
              </a:graphicData>
            </a:graphic>
          </wp:inline>
        </w:drawing>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an equation to show the relationship between ∆</w:t>
      </w:r>
      <w:r>
        <w:rPr>
          <w:rFonts w:ascii="Arial" w:hAnsi="Arial" w:cs="Arial"/>
          <w:i/>
          <w:iCs/>
          <w:lang w:val="en-US"/>
        </w:rPr>
        <w:t>G</w:t>
      </w:r>
      <w:r>
        <w:rPr>
          <w:rFonts w:ascii="Arial" w:hAnsi="Arial" w:cs="Arial"/>
          <w:lang w:val="en-US"/>
        </w:rPr>
        <w:t>, ∆</w:t>
      </w:r>
      <w:r>
        <w:rPr>
          <w:rFonts w:ascii="Arial" w:hAnsi="Arial" w:cs="Arial"/>
          <w:i/>
          <w:iCs/>
          <w:lang w:val="en-US"/>
        </w:rPr>
        <w:t>H</w:t>
      </w:r>
      <w:r>
        <w:rPr>
          <w:rFonts w:ascii="Arial" w:hAnsi="Arial" w:cs="Arial"/>
          <w:lang w:val="en-US"/>
        </w:rPr>
        <w:t xml:space="preserve"> and ∆</w:t>
      </w:r>
      <w:r>
        <w:rPr>
          <w:rFonts w:ascii="Arial" w:hAnsi="Arial" w:cs="Arial"/>
          <w:i/>
          <w:iCs/>
          <w:lang w:val="en-US"/>
        </w:rPr>
        <w:t>S</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Use the graph to calculate a value for the slope (gradient) of the line. Give the units of this slope and the symbol for the thermodynamic quantity that this slope represents.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Value of the slope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Units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Symbol ...........................................................................................................</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the significance, for this reaction, of temperatures below the temperature value where the line crosses the temperature axis.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The line is not drawn below a temperature of 240 K because its slope (gradient) changes at this point.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what happens to the ammonia at 240 K that causes the slope of the line to change.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0E1EDE"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3</w:t>
      </w:r>
      <w:r w:rsidR="008254DC">
        <w:rPr>
          <w:rFonts w:ascii="Arial" w:hAnsi="Arial" w:cs="Arial"/>
          <w:b/>
          <w:bCs/>
          <w:lang w:val="en-US"/>
        </w:rPr>
        <w:t>.</w:t>
      </w:r>
      <w:r w:rsidR="008254DC">
        <w:rPr>
          <w:rFonts w:ascii="Arial" w:hAnsi="Arial" w:cs="Arial"/>
          <w:b/>
          <w:bCs/>
          <w:lang w:val="en-US"/>
        </w:rPr>
        <w:tab/>
      </w:r>
      <w:r w:rsidR="008254DC">
        <w:rPr>
          <w:rFonts w:ascii="Arial" w:hAnsi="Arial" w:cs="Arial"/>
          <w:lang w:val="en-US"/>
        </w:rPr>
        <w:t xml:space="preserve">This question is about </w:t>
      </w:r>
      <w:proofErr w:type="spellStart"/>
      <w:r w:rsidR="008254DC">
        <w:rPr>
          <w:rFonts w:ascii="Arial" w:hAnsi="Arial" w:cs="Arial"/>
          <w:lang w:val="en-US"/>
        </w:rPr>
        <w:t>Brønsted</w:t>
      </w:r>
      <w:proofErr w:type="spellEnd"/>
      <w:r w:rsidR="008254DC">
        <w:rPr>
          <w:rFonts w:ascii="Arial" w:hAnsi="Arial" w:cs="Arial"/>
          <w:lang w:val="en-US"/>
        </w:rPr>
        <w:t>-Lowry acids of different strengths.</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the meaning of the term </w:t>
      </w:r>
      <w:proofErr w:type="spellStart"/>
      <w:r>
        <w:rPr>
          <w:rFonts w:ascii="Arial" w:hAnsi="Arial" w:cs="Arial"/>
          <w:i/>
          <w:iCs/>
          <w:lang w:val="en-US"/>
        </w:rPr>
        <w:t>Brønsted</w:t>
      </w:r>
      <w:proofErr w:type="spellEnd"/>
      <w:r>
        <w:rPr>
          <w:rFonts w:ascii="Arial" w:hAnsi="Arial" w:cs="Arial"/>
          <w:i/>
          <w:iCs/>
          <w:lang w:val="en-US"/>
        </w:rPr>
        <w:t>–Lowry acid</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 is 1.75 × 10</w:t>
      </w:r>
      <w:r>
        <w:rPr>
          <w:rFonts w:ascii="Arial" w:hAnsi="Arial" w:cs="Arial"/>
          <w:sz w:val="14"/>
          <w:szCs w:val="14"/>
          <w:vertAlign w:val="superscript"/>
          <w:lang w:val="en-US"/>
        </w:rPr>
        <w:t>−5</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at 25 °C.</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concentration of ethanoic acid in a solution of the acid that has a pH of 2.69</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8254DC" w:rsidRDefault="008254DC">
      <w:pPr>
        <w:rPr>
          <w:rFonts w:ascii="Arial" w:hAnsi="Arial" w:cs="Arial"/>
          <w:lang w:val="en-US"/>
        </w:rPr>
      </w:pPr>
      <w:r>
        <w:rPr>
          <w:rFonts w:ascii="Arial" w:hAnsi="Arial" w:cs="Arial"/>
          <w:lang w:val="en-US"/>
        </w:rPr>
        <w:br w:type="page"/>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w:t>
      </w:r>
      <w:proofErr w:type="spellStart"/>
      <w:r>
        <w:rPr>
          <w:rFonts w:ascii="Arial" w:hAnsi="Arial" w:cs="Arial"/>
          <w:lang w:val="en-US"/>
        </w:rPr>
        <w:t>chloroethanoic</w:t>
      </w:r>
      <w:proofErr w:type="spellEnd"/>
      <w:r>
        <w:rPr>
          <w:rFonts w:ascii="Arial" w:hAnsi="Arial" w:cs="Arial"/>
          <w:lang w:val="en-US"/>
        </w:rPr>
        <w:t xml:space="preserve"> acid (ClCH</w:t>
      </w:r>
      <w:r>
        <w:rPr>
          <w:rFonts w:ascii="Arial" w:hAnsi="Arial" w:cs="Arial"/>
          <w:sz w:val="14"/>
          <w:szCs w:val="14"/>
          <w:vertAlign w:val="subscript"/>
          <w:lang w:val="en-US"/>
        </w:rPr>
        <w:t>2</w:t>
      </w:r>
      <w:r>
        <w:rPr>
          <w:rFonts w:ascii="Arial" w:hAnsi="Arial" w:cs="Arial"/>
          <w:lang w:val="en-US"/>
        </w:rPr>
        <w:t>COOH) is 1.38 × 10</w:t>
      </w:r>
      <w:r>
        <w:rPr>
          <w:rFonts w:ascii="Arial" w:hAnsi="Arial" w:cs="Arial"/>
          <w:sz w:val="14"/>
          <w:szCs w:val="14"/>
          <w:vertAlign w:val="superscript"/>
          <w:lang w:val="en-US"/>
        </w:rPr>
        <w:t>−3</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at 25 °C.</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equation for the dissociation of </w:t>
      </w:r>
      <w:proofErr w:type="spellStart"/>
      <w:r>
        <w:rPr>
          <w:rFonts w:ascii="Arial" w:hAnsi="Arial" w:cs="Arial"/>
          <w:lang w:val="en-US"/>
        </w:rPr>
        <w:t>chloroethanoic</w:t>
      </w:r>
      <w:proofErr w:type="spellEnd"/>
      <w:r>
        <w:rPr>
          <w:rFonts w:ascii="Arial" w:hAnsi="Arial" w:cs="Arial"/>
          <w:lang w:val="en-US"/>
        </w:rPr>
        <w:t xml:space="preserve"> acid in aqueous solution.</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why </w:t>
      </w:r>
      <w:proofErr w:type="spellStart"/>
      <w:r>
        <w:rPr>
          <w:rFonts w:ascii="Arial" w:hAnsi="Arial" w:cs="Arial"/>
          <w:lang w:val="en-US"/>
        </w:rPr>
        <w:t>chloroethanoic</w:t>
      </w:r>
      <w:proofErr w:type="spellEnd"/>
      <w:r>
        <w:rPr>
          <w:rFonts w:ascii="Arial" w:hAnsi="Arial" w:cs="Arial"/>
          <w:lang w:val="en-US"/>
        </w:rPr>
        <w:t xml:space="preserve"> acid is a stronger acid than ethanoic acid.</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after="0" w:line="240" w:lineRule="auto"/>
        <w:rPr>
          <w:rFonts w:ascii="Arial" w:hAnsi="Arial" w:cs="Arial"/>
          <w:lang w:val="en-US"/>
        </w:rPr>
      </w:pPr>
    </w:p>
    <w:p w:rsidR="008254DC" w:rsidRDefault="008254DC" w:rsidP="008254DC">
      <w:pPr>
        <w:widowControl w:val="0"/>
        <w:autoSpaceDE w:val="0"/>
        <w:autoSpaceDN w:val="0"/>
        <w:adjustRightInd w:val="0"/>
        <w:spacing w:after="0" w:line="240" w:lineRule="auto"/>
        <w:rPr>
          <w:rFonts w:ascii="Arial" w:hAnsi="Arial" w:cs="Arial"/>
          <w:lang w:val="en-US"/>
        </w:rPr>
      </w:pPr>
      <w:r>
        <w:rPr>
          <w:rFonts w:ascii="Arial" w:hAnsi="Arial" w:cs="Arial"/>
          <w:lang w:val="en-US"/>
        </w:rPr>
        <w:t>(d)     </w:t>
      </w:r>
      <w:r>
        <w:rPr>
          <w:rFonts w:ascii="Arial" w:hAnsi="Arial" w:cs="Arial"/>
          <w:b/>
          <w:bCs/>
          <w:lang w:val="en-US"/>
        </w:rPr>
        <w:t>P</w:t>
      </w:r>
      <w:r>
        <w:rPr>
          <w:rFonts w:ascii="Arial" w:hAnsi="Arial" w:cs="Arial"/>
          <w:lang w:val="en-US"/>
        </w:rPr>
        <w:t xml:space="preserve"> and </w:t>
      </w:r>
      <w:r>
        <w:rPr>
          <w:rFonts w:ascii="Arial" w:hAnsi="Arial" w:cs="Arial"/>
          <w:b/>
          <w:bCs/>
          <w:lang w:val="en-US"/>
        </w:rPr>
        <w:t>Q</w:t>
      </w:r>
      <w:r>
        <w:rPr>
          <w:rFonts w:ascii="Arial" w:hAnsi="Arial" w:cs="Arial"/>
          <w:lang w:val="en-US"/>
        </w:rPr>
        <w:t xml:space="preserve"> are acids. </w:t>
      </w:r>
      <w:r>
        <w:rPr>
          <w:rFonts w:ascii="Arial" w:hAnsi="Arial" w:cs="Arial"/>
          <w:b/>
          <w:bCs/>
          <w:lang w:val="en-US"/>
        </w:rPr>
        <w:t>X</w:t>
      </w:r>
      <w:r>
        <w:rPr>
          <w:rFonts w:ascii="Arial" w:hAnsi="Arial" w:cs="Arial"/>
          <w:lang w:val="en-US"/>
        </w:rPr>
        <w:t xml:space="preserve"> and </w:t>
      </w:r>
      <w:r>
        <w:rPr>
          <w:rFonts w:ascii="Arial" w:hAnsi="Arial" w:cs="Arial"/>
          <w:b/>
          <w:bCs/>
          <w:lang w:val="en-US"/>
        </w:rPr>
        <w:t>Y</w:t>
      </w:r>
      <w:r>
        <w:rPr>
          <w:rFonts w:ascii="Arial" w:hAnsi="Arial" w:cs="Arial"/>
          <w:lang w:val="en-US"/>
        </w:rPr>
        <w:t xml:space="preserve"> are bases. The table shows the strength of each acid and base.</w:t>
      </w:r>
    </w:p>
    <w:p w:rsidR="008254DC" w:rsidRDefault="008254DC" w:rsidP="008254D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485"/>
        <w:gridCol w:w="1485"/>
        <w:gridCol w:w="1485"/>
        <w:gridCol w:w="1485"/>
      </w:tblGrid>
      <w:tr w:rsidR="008254DC" w:rsidTr="00BC4A58">
        <w:tblPrEx>
          <w:tblCellMar>
            <w:top w:w="0" w:type="dxa"/>
            <w:bottom w:w="0" w:type="dxa"/>
          </w:tblCellMar>
        </w:tblPrEx>
        <w:tc>
          <w:tcPr>
            <w:tcW w:w="122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970" w:type="dxa"/>
            <w:gridSpan w:val="2"/>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Acids</w:t>
            </w:r>
          </w:p>
        </w:tc>
        <w:tc>
          <w:tcPr>
            <w:tcW w:w="2970" w:type="dxa"/>
            <w:gridSpan w:val="2"/>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Bases</w:t>
            </w:r>
          </w:p>
        </w:tc>
      </w:tr>
      <w:tr w:rsidR="008254DC" w:rsidTr="00BC4A58">
        <w:tblPrEx>
          <w:tblCellMar>
            <w:top w:w="0" w:type="dxa"/>
            <w:bottom w:w="0" w:type="dxa"/>
          </w:tblCellMar>
        </w:tblPrEx>
        <w:tc>
          <w:tcPr>
            <w:tcW w:w="122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strong</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weak</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strong</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weak</w:t>
            </w:r>
          </w:p>
        </w:tc>
      </w:tr>
      <w:tr w:rsidR="008254DC" w:rsidTr="00BC4A58">
        <w:tblPrEx>
          <w:tblCellMar>
            <w:top w:w="0" w:type="dxa"/>
            <w:bottom w:w="0" w:type="dxa"/>
          </w:tblCellMar>
        </w:tblPrEx>
        <w:tc>
          <w:tcPr>
            <w:tcW w:w="122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Q</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X</w:t>
            </w:r>
          </w:p>
        </w:tc>
        <w:tc>
          <w:tcPr>
            <w:tcW w:w="14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Y</w:t>
            </w:r>
          </w:p>
        </w:tc>
      </w:tr>
    </w:tbl>
    <w:p w:rsidR="008254DC" w:rsidRDefault="008254DC" w:rsidP="008254DC">
      <w:pPr>
        <w:widowControl w:val="0"/>
        <w:autoSpaceDE w:val="0"/>
        <w:autoSpaceDN w:val="0"/>
        <w:adjustRightInd w:val="0"/>
        <w:spacing w:after="0" w:line="240" w:lineRule="auto"/>
        <w:rPr>
          <w:rFonts w:ascii="Arial" w:hAnsi="Arial" w:cs="Arial"/>
          <w:sz w:val="16"/>
          <w:szCs w:val="16"/>
          <w:lang w:val="en-US"/>
        </w:rPr>
      </w:pP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two acids were titrated separately with the two bases using methyl orange as indicator.</w:t>
      </w:r>
      <w:r>
        <w:rPr>
          <w:rFonts w:ascii="Arial" w:hAnsi="Arial" w:cs="Arial"/>
          <w:lang w:val="en-US"/>
        </w:rPr>
        <w:br/>
        <w:t>The titrations were then repeated using phenolphthalein as indicator.</w:t>
      </w:r>
      <w:r>
        <w:rPr>
          <w:rFonts w:ascii="Arial" w:hAnsi="Arial" w:cs="Arial"/>
          <w:lang w:val="en-US"/>
        </w:rPr>
        <w:br/>
        <w:t>The pH range for methyl orange is 3.1 − 4.4</w:t>
      </w:r>
      <w:r>
        <w:rPr>
          <w:rFonts w:ascii="Arial" w:hAnsi="Arial" w:cs="Arial"/>
          <w:lang w:val="en-US"/>
        </w:rPr>
        <w:br/>
        <w:t>The pH range for phenolphthalein is 8.3 − 10.0</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For each of the following titrations, select the letter, </w:t>
      </w:r>
      <w:r>
        <w:rPr>
          <w:rFonts w:ascii="Arial" w:hAnsi="Arial" w:cs="Arial"/>
          <w:b/>
          <w:bCs/>
          <w:lang w:val="en-US"/>
        </w:rPr>
        <w:t>A, B, C,</w:t>
      </w:r>
      <w:r>
        <w:rPr>
          <w:rFonts w:ascii="Arial" w:hAnsi="Arial" w:cs="Arial"/>
          <w:lang w:val="en-US"/>
        </w:rPr>
        <w:t xml:space="preserve"> or </w:t>
      </w:r>
      <w:r>
        <w:rPr>
          <w:rFonts w:ascii="Arial" w:hAnsi="Arial" w:cs="Arial"/>
          <w:b/>
          <w:bCs/>
          <w:lang w:val="en-US"/>
        </w:rPr>
        <w:t>D</w:t>
      </w:r>
      <w:r>
        <w:rPr>
          <w:rFonts w:ascii="Arial" w:hAnsi="Arial" w:cs="Arial"/>
          <w:lang w:val="en-US"/>
        </w:rPr>
        <w:t>, for the correct statement about the indicator(s) that would give a precise end-point.</w:t>
      </w:r>
      <w:r>
        <w:rPr>
          <w:rFonts w:ascii="Arial" w:hAnsi="Arial" w:cs="Arial"/>
          <w:lang w:val="en-US"/>
        </w:rPr>
        <w:br/>
        <w:t>Write your answer in the box provided.</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A</w:t>
      </w:r>
      <w:r>
        <w:rPr>
          <w:rFonts w:ascii="Arial" w:hAnsi="Arial" w:cs="Arial"/>
          <w:lang w:val="en-US"/>
        </w:rPr>
        <w:t xml:space="preserve"> Both indicators give a precise end-point.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B</w:t>
      </w:r>
      <w:r>
        <w:rPr>
          <w:rFonts w:ascii="Arial" w:hAnsi="Arial" w:cs="Arial"/>
          <w:lang w:val="en-US"/>
        </w:rPr>
        <w:t xml:space="preserve"> </w:t>
      </w:r>
      <w:r>
        <w:rPr>
          <w:rFonts w:ascii="Arial" w:hAnsi="Arial" w:cs="Arial"/>
          <w:b/>
          <w:bCs/>
          <w:lang w:val="en-US"/>
        </w:rPr>
        <w:t>Only</w:t>
      </w:r>
      <w:r>
        <w:rPr>
          <w:rFonts w:ascii="Arial" w:hAnsi="Arial" w:cs="Arial"/>
          <w:lang w:val="en-US"/>
        </w:rPr>
        <w:t xml:space="preserve"> methyl orange gives a precise end-point.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C</w:t>
      </w:r>
      <w:r>
        <w:rPr>
          <w:rFonts w:ascii="Arial" w:hAnsi="Arial" w:cs="Arial"/>
          <w:lang w:val="en-US"/>
        </w:rPr>
        <w:t xml:space="preserve"> </w:t>
      </w:r>
      <w:r>
        <w:rPr>
          <w:rFonts w:ascii="Arial" w:hAnsi="Arial" w:cs="Arial"/>
          <w:b/>
          <w:bCs/>
          <w:lang w:val="en-US"/>
        </w:rPr>
        <w:t>Only</w:t>
      </w:r>
      <w:r>
        <w:rPr>
          <w:rFonts w:ascii="Arial" w:hAnsi="Arial" w:cs="Arial"/>
          <w:lang w:val="en-US"/>
        </w:rPr>
        <w:t xml:space="preserve"> phenolphthalein gives a precise end-point.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D</w:t>
      </w:r>
      <w:r>
        <w:rPr>
          <w:rFonts w:ascii="Arial" w:hAnsi="Arial" w:cs="Arial"/>
          <w:lang w:val="en-US"/>
        </w:rPr>
        <w:t xml:space="preserve"> Neither indicator gives a precise end-point.</w:t>
      </w:r>
    </w:p>
    <w:p w:rsidR="008254DC" w:rsidRDefault="008254DC">
      <w:pPr>
        <w:rPr>
          <w:rFonts w:ascii="Arial" w:hAnsi="Arial" w:cs="Arial"/>
          <w:lang w:val="en-US"/>
        </w:rPr>
      </w:pPr>
      <w:r>
        <w:rPr>
          <w:rFonts w:ascii="Arial" w:hAnsi="Arial" w:cs="Arial"/>
          <w:lang w:val="en-US"/>
        </w:rPr>
        <w:br w:type="page"/>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p>
    <w:p w:rsidR="008254DC" w:rsidRDefault="008254DC" w:rsidP="008254D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650"/>
        <w:gridCol w:w="555"/>
        <w:gridCol w:w="2115"/>
        <w:gridCol w:w="1125"/>
      </w:tblGrid>
      <w:tr w:rsidR="008254DC" w:rsidTr="00BC4A58">
        <w:tblPrEx>
          <w:tblCellMar>
            <w:top w:w="0" w:type="dxa"/>
            <w:left w:w="0" w:type="dxa"/>
            <w:bottom w:w="0" w:type="dxa"/>
            <w:right w:w="0" w:type="dxa"/>
          </w:tblCellMar>
        </w:tblPrEx>
        <w:tc>
          <w:tcPr>
            <w:tcW w:w="65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975"/>
              <w:rPr>
                <w:rFonts w:ascii="Arial" w:hAnsi="Arial" w:cs="Arial"/>
                <w:sz w:val="16"/>
                <w:szCs w:val="16"/>
                <w:lang w:val="en-US"/>
              </w:rPr>
            </w:pPr>
            <w:r>
              <w:rPr>
                <w:rFonts w:ascii="Arial" w:hAnsi="Arial" w:cs="Arial"/>
                <w:sz w:val="16"/>
                <w:szCs w:val="16"/>
                <w:lang w:val="en-US"/>
              </w:rPr>
              <w:t> </w:t>
            </w:r>
          </w:p>
        </w:tc>
        <w:tc>
          <w:tcPr>
            <w:tcW w:w="555" w:type="dxa"/>
            <w:tcBorders>
              <w:top w:val="nil"/>
              <w:left w:val="nil"/>
              <w:bottom w:val="nil"/>
              <w:right w:val="nil"/>
            </w:tcBorders>
            <w:vAlign w:val="center"/>
          </w:tcPr>
          <w:p w:rsidR="008254DC" w:rsidRDefault="008254DC" w:rsidP="00BC4A58">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w:t>
            </w:r>
          </w:p>
        </w:tc>
        <w:tc>
          <w:tcPr>
            <w:tcW w:w="2115" w:type="dxa"/>
            <w:tcBorders>
              <w:top w:val="nil"/>
              <w:left w:val="nil"/>
              <w:bottom w:val="nil"/>
              <w:right w:val="nil"/>
            </w:tcBorders>
            <w:vAlign w:val="center"/>
          </w:tcPr>
          <w:p w:rsidR="008254DC" w:rsidRDefault="008254DC" w:rsidP="00BC4A58">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Acid </w:t>
            </w:r>
            <w:r>
              <w:rPr>
                <w:rFonts w:ascii="Arial" w:hAnsi="Arial" w:cs="Arial"/>
                <w:b/>
                <w:bCs/>
                <w:lang w:val="en-US"/>
              </w:rPr>
              <w:t>P</w:t>
            </w:r>
            <w:r>
              <w:rPr>
                <w:rFonts w:ascii="Arial" w:hAnsi="Arial" w:cs="Arial"/>
                <w:lang w:val="en-US"/>
              </w:rPr>
              <w:t xml:space="preserve"> with base </w:t>
            </w:r>
            <w:r>
              <w:rPr>
                <w:rFonts w:ascii="Arial" w:hAnsi="Arial" w:cs="Arial"/>
                <w:b/>
                <w:bCs/>
                <w:lang w:val="en-US"/>
              </w:rPr>
              <w:t>X</w:t>
            </w:r>
          </w:p>
        </w:tc>
        <w:tc>
          <w:tcPr>
            <w:tcW w:w="1125"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lang w:eastAsia="en-GB"/>
              </w:rPr>
              <w:drawing>
                <wp:inline distT="0" distB="0" distL="0" distR="0">
                  <wp:extent cx="495300" cy="485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bl>
    <w:p w:rsidR="008254DC" w:rsidRDefault="008254DC" w:rsidP="008254DC">
      <w:pPr>
        <w:widowControl w:val="0"/>
        <w:autoSpaceDE w:val="0"/>
        <w:autoSpaceDN w:val="0"/>
        <w:adjustRightInd w:val="0"/>
        <w:spacing w:after="0" w:line="240" w:lineRule="auto"/>
        <w:rPr>
          <w:rFonts w:ascii="Arial" w:hAnsi="Arial" w:cs="Arial"/>
          <w:sz w:val="16"/>
          <w:szCs w:val="16"/>
          <w:lang w:val="en-US"/>
        </w:rPr>
      </w:pP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tbl>
      <w:tblPr>
        <w:tblW w:w="0" w:type="auto"/>
        <w:tblInd w:w="10" w:type="dxa"/>
        <w:tblLayout w:type="fixed"/>
        <w:tblCellMar>
          <w:left w:w="0" w:type="dxa"/>
          <w:right w:w="0" w:type="dxa"/>
        </w:tblCellMar>
        <w:tblLook w:val="0000" w:firstRow="0" w:lastRow="0" w:firstColumn="0" w:lastColumn="0" w:noHBand="0" w:noVBand="0"/>
      </w:tblPr>
      <w:tblGrid>
        <w:gridCol w:w="650"/>
        <w:gridCol w:w="578"/>
        <w:gridCol w:w="2115"/>
        <w:gridCol w:w="1125"/>
      </w:tblGrid>
      <w:tr w:rsidR="008254DC" w:rsidTr="00BC4A58">
        <w:tblPrEx>
          <w:tblCellMar>
            <w:top w:w="0" w:type="dxa"/>
            <w:left w:w="0" w:type="dxa"/>
            <w:bottom w:w="0" w:type="dxa"/>
            <w:right w:w="0" w:type="dxa"/>
          </w:tblCellMar>
        </w:tblPrEx>
        <w:tc>
          <w:tcPr>
            <w:tcW w:w="65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975"/>
              <w:rPr>
                <w:rFonts w:ascii="Arial" w:hAnsi="Arial" w:cs="Arial"/>
                <w:sz w:val="16"/>
                <w:szCs w:val="16"/>
                <w:lang w:val="en-US"/>
              </w:rPr>
            </w:pPr>
            <w:r>
              <w:rPr>
                <w:rFonts w:ascii="Arial" w:hAnsi="Arial" w:cs="Arial"/>
                <w:sz w:val="16"/>
                <w:szCs w:val="16"/>
                <w:lang w:val="en-US"/>
              </w:rPr>
              <w:t> </w:t>
            </w:r>
          </w:p>
        </w:tc>
        <w:tc>
          <w:tcPr>
            <w:tcW w:w="578" w:type="dxa"/>
            <w:tcBorders>
              <w:top w:val="nil"/>
              <w:left w:val="nil"/>
              <w:bottom w:val="nil"/>
              <w:right w:val="nil"/>
            </w:tcBorders>
            <w:vAlign w:val="center"/>
          </w:tcPr>
          <w:p w:rsidR="008254DC" w:rsidRDefault="008254DC" w:rsidP="00BC4A58">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w:t>
            </w:r>
          </w:p>
        </w:tc>
        <w:tc>
          <w:tcPr>
            <w:tcW w:w="2115" w:type="dxa"/>
            <w:tcBorders>
              <w:top w:val="nil"/>
              <w:left w:val="nil"/>
              <w:bottom w:val="nil"/>
              <w:right w:val="nil"/>
            </w:tcBorders>
            <w:vAlign w:val="center"/>
          </w:tcPr>
          <w:p w:rsidR="008254DC" w:rsidRDefault="008254DC" w:rsidP="00BC4A58">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Acid </w:t>
            </w:r>
            <w:r>
              <w:rPr>
                <w:rFonts w:ascii="Arial" w:hAnsi="Arial" w:cs="Arial"/>
                <w:b/>
                <w:bCs/>
                <w:lang w:val="en-US"/>
              </w:rPr>
              <w:t>Q</w:t>
            </w:r>
            <w:r>
              <w:rPr>
                <w:rFonts w:ascii="Arial" w:hAnsi="Arial" w:cs="Arial"/>
                <w:lang w:val="en-US"/>
              </w:rPr>
              <w:t xml:space="preserve"> with base </w:t>
            </w:r>
            <w:r>
              <w:rPr>
                <w:rFonts w:ascii="Arial" w:hAnsi="Arial" w:cs="Arial"/>
                <w:b/>
                <w:bCs/>
                <w:lang w:val="en-US"/>
              </w:rPr>
              <w:t>X</w:t>
            </w:r>
          </w:p>
        </w:tc>
        <w:tc>
          <w:tcPr>
            <w:tcW w:w="1125"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lang w:eastAsia="en-GB"/>
              </w:rPr>
              <w:drawing>
                <wp:inline distT="0" distB="0" distL="0" distR="0">
                  <wp:extent cx="495300" cy="485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bl>
    <w:p w:rsidR="008254DC" w:rsidRDefault="008254DC" w:rsidP="008254DC">
      <w:pPr>
        <w:widowControl w:val="0"/>
        <w:autoSpaceDE w:val="0"/>
        <w:autoSpaceDN w:val="0"/>
        <w:adjustRightInd w:val="0"/>
        <w:spacing w:after="0" w:line="240" w:lineRule="auto"/>
        <w:rPr>
          <w:rFonts w:ascii="Arial" w:hAnsi="Arial" w:cs="Arial"/>
          <w:sz w:val="16"/>
          <w:szCs w:val="16"/>
          <w:lang w:val="en-US"/>
        </w:rPr>
      </w:pP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tbl>
      <w:tblPr>
        <w:tblW w:w="0" w:type="auto"/>
        <w:tblInd w:w="10" w:type="dxa"/>
        <w:tblLayout w:type="fixed"/>
        <w:tblCellMar>
          <w:left w:w="0" w:type="dxa"/>
          <w:right w:w="0" w:type="dxa"/>
        </w:tblCellMar>
        <w:tblLook w:val="0000" w:firstRow="0" w:lastRow="0" w:firstColumn="0" w:lastColumn="0" w:noHBand="0" w:noVBand="0"/>
      </w:tblPr>
      <w:tblGrid>
        <w:gridCol w:w="650"/>
        <w:gridCol w:w="693"/>
        <w:gridCol w:w="2115"/>
        <w:gridCol w:w="1125"/>
      </w:tblGrid>
      <w:tr w:rsidR="008254DC" w:rsidTr="00BC4A58">
        <w:tblPrEx>
          <w:tblCellMar>
            <w:top w:w="0" w:type="dxa"/>
            <w:left w:w="0" w:type="dxa"/>
            <w:bottom w:w="0" w:type="dxa"/>
            <w:right w:w="0" w:type="dxa"/>
          </w:tblCellMar>
        </w:tblPrEx>
        <w:tc>
          <w:tcPr>
            <w:tcW w:w="65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975"/>
              <w:rPr>
                <w:rFonts w:ascii="Arial" w:hAnsi="Arial" w:cs="Arial"/>
                <w:sz w:val="16"/>
                <w:szCs w:val="16"/>
                <w:lang w:val="en-US"/>
              </w:rPr>
            </w:pPr>
            <w:r>
              <w:rPr>
                <w:rFonts w:ascii="Arial" w:hAnsi="Arial" w:cs="Arial"/>
                <w:sz w:val="16"/>
                <w:szCs w:val="16"/>
                <w:lang w:val="en-US"/>
              </w:rPr>
              <w:t> </w:t>
            </w:r>
          </w:p>
        </w:tc>
        <w:tc>
          <w:tcPr>
            <w:tcW w:w="693" w:type="dxa"/>
            <w:tcBorders>
              <w:top w:val="nil"/>
              <w:left w:val="nil"/>
              <w:bottom w:val="nil"/>
              <w:right w:val="nil"/>
            </w:tcBorders>
            <w:vAlign w:val="center"/>
          </w:tcPr>
          <w:p w:rsidR="008254DC" w:rsidRDefault="008254DC" w:rsidP="00BC4A58">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(iii)</w:t>
            </w:r>
          </w:p>
        </w:tc>
        <w:tc>
          <w:tcPr>
            <w:tcW w:w="2115" w:type="dxa"/>
            <w:tcBorders>
              <w:top w:val="nil"/>
              <w:left w:val="nil"/>
              <w:bottom w:val="nil"/>
              <w:right w:val="nil"/>
            </w:tcBorders>
            <w:vAlign w:val="center"/>
          </w:tcPr>
          <w:p w:rsidR="008254DC" w:rsidRDefault="008254DC" w:rsidP="00BC4A58">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Acid </w:t>
            </w:r>
            <w:r>
              <w:rPr>
                <w:rFonts w:ascii="Arial" w:hAnsi="Arial" w:cs="Arial"/>
                <w:b/>
                <w:bCs/>
                <w:lang w:val="en-US"/>
              </w:rPr>
              <w:t>Q</w:t>
            </w:r>
            <w:r>
              <w:rPr>
                <w:rFonts w:ascii="Arial" w:hAnsi="Arial" w:cs="Arial"/>
                <w:lang w:val="en-US"/>
              </w:rPr>
              <w:t xml:space="preserve"> with base </w:t>
            </w:r>
            <w:r>
              <w:rPr>
                <w:rFonts w:ascii="Arial" w:hAnsi="Arial" w:cs="Arial"/>
                <w:b/>
                <w:bCs/>
                <w:lang w:val="en-US"/>
              </w:rPr>
              <w:t>Y</w:t>
            </w:r>
          </w:p>
        </w:tc>
        <w:tc>
          <w:tcPr>
            <w:tcW w:w="1125" w:type="dxa"/>
            <w:tcBorders>
              <w:top w:val="nil"/>
              <w:left w:val="nil"/>
              <w:bottom w:val="nil"/>
              <w:right w:val="nil"/>
            </w:tcBorders>
          </w:tcPr>
          <w:p w:rsidR="008254DC" w:rsidRDefault="008254DC" w:rsidP="00BC4A58">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lang w:eastAsia="en-GB"/>
              </w:rPr>
              <w:drawing>
                <wp:inline distT="0" distB="0" distL="0" distR="0">
                  <wp:extent cx="495300" cy="485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bl>
    <w:p w:rsidR="008254DC" w:rsidRDefault="008254DC" w:rsidP="008254DC">
      <w:pPr>
        <w:widowControl w:val="0"/>
        <w:autoSpaceDE w:val="0"/>
        <w:autoSpaceDN w:val="0"/>
        <w:adjustRightInd w:val="0"/>
        <w:spacing w:after="0" w:line="240" w:lineRule="auto"/>
        <w:rPr>
          <w:rFonts w:ascii="Arial" w:hAnsi="Arial" w:cs="Arial"/>
          <w:sz w:val="16"/>
          <w:szCs w:val="16"/>
          <w:lang w:val="en-US"/>
        </w:rPr>
      </w:pP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Using a burette, 26.40 cm</w:t>
      </w:r>
      <w:r>
        <w:rPr>
          <w:rFonts w:ascii="Arial" w:hAnsi="Arial" w:cs="Arial"/>
          <w:sz w:val="14"/>
          <w:szCs w:val="14"/>
          <w:vertAlign w:val="superscript"/>
          <w:lang w:val="en-US"/>
        </w:rPr>
        <w:t>3</w:t>
      </w:r>
      <w:r>
        <w:rPr>
          <w:rFonts w:ascii="Arial" w:hAnsi="Arial" w:cs="Arial"/>
          <w:lang w:val="en-US"/>
        </w:rPr>
        <w:t xml:space="preserve"> of 0.550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sulfuric acid were added to a conical flask containing 19.60 cm</w:t>
      </w:r>
      <w:r>
        <w:rPr>
          <w:rFonts w:ascii="Arial" w:hAnsi="Arial" w:cs="Arial"/>
          <w:sz w:val="14"/>
          <w:szCs w:val="14"/>
          <w:vertAlign w:val="superscript"/>
          <w:lang w:val="en-US"/>
        </w:rPr>
        <w:t>3</w:t>
      </w:r>
      <w:r>
        <w:rPr>
          <w:rFonts w:ascii="Arial" w:hAnsi="Arial" w:cs="Arial"/>
          <w:lang w:val="en-US"/>
        </w:rPr>
        <w:t xml:space="preserve"> of 0.720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aqueous sodium hydroxide.</w:t>
      </w:r>
      <w:r>
        <w:rPr>
          <w:rFonts w:ascii="Arial" w:hAnsi="Arial" w:cs="Arial"/>
          <w:lang w:val="en-US"/>
        </w:rPr>
        <w:br/>
        <w:t>Assume that the sulfuric acid is fully dissociated.</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pH of the solution formed.</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your answer to 2 decimal places.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Pr>
          <w:rFonts w:ascii="Arial" w:hAnsi="Arial" w:cs="Arial"/>
          <w:b/>
          <w:bCs/>
          <w:sz w:val="20"/>
          <w:szCs w:val="20"/>
          <w:lang w:val="en-US"/>
        </w:rPr>
        <w:t>(6)</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254DC" w:rsidRDefault="008254DC">
      <w:pPr>
        <w:rPr>
          <w:rFonts w:ascii="Arial" w:hAnsi="Arial" w:cs="Arial"/>
          <w:b/>
          <w:bCs/>
          <w:lang w:val="en-US"/>
        </w:rPr>
      </w:pPr>
      <w:r>
        <w:rPr>
          <w:rFonts w:ascii="Arial" w:hAnsi="Arial" w:cs="Arial"/>
          <w:b/>
          <w:bCs/>
          <w:lang w:val="en-US"/>
        </w:rPr>
        <w:br w:type="page"/>
      </w:r>
    </w:p>
    <w:p w:rsidR="008254DC" w:rsidRDefault="000E1EDE"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4</w:t>
      </w:r>
      <w:r w:rsidR="008254DC">
        <w:rPr>
          <w:rFonts w:ascii="Arial" w:hAnsi="Arial" w:cs="Arial"/>
          <w:b/>
          <w:bCs/>
          <w:lang w:val="en-US"/>
        </w:rPr>
        <w:t>.</w:t>
      </w:r>
      <w:r w:rsidR="008254DC">
        <w:rPr>
          <w:rFonts w:ascii="Arial" w:hAnsi="Arial" w:cs="Arial"/>
          <w:b/>
          <w:bCs/>
          <w:lang w:val="en-US"/>
        </w:rPr>
        <w:tab/>
      </w:r>
      <w:r w:rsidR="008254DC">
        <w:rPr>
          <w:rFonts w:ascii="Arial" w:hAnsi="Arial" w:cs="Arial"/>
          <w:lang w:val="en-US"/>
        </w:rPr>
        <w:t xml:space="preserve">When 1.00 </w:t>
      </w:r>
      <w:proofErr w:type="spellStart"/>
      <w:r w:rsidR="008254DC">
        <w:rPr>
          <w:rFonts w:ascii="Arial" w:hAnsi="Arial" w:cs="Arial"/>
          <w:lang w:val="en-US"/>
        </w:rPr>
        <w:t>mol</w:t>
      </w:r>
      <w:proofErr w:type="spellEnd"/>
      <w:r w:rsidR="008254DC">
        <w:rPr>
          <w:rFonts w:ascii="Arial" w:hAnsi="Arial" w:cs="Arial"/>
          <w:lang w:val="en-US"/>
        </w:rPr>
        <w:t xml:space="preserve"> </w:t>
      </w:r>
      <w:proofErr w:type="spellStart"/>
      <w:r w:rsidR="008254DC">
        <w:rPr>
          <w:rFonts w:ascii="Arial" w:hAnsi="Arial" w:cs="Arial"/>
          <w:lang w:val="en-US"/>
        </w:rPr>
        <w:t>dm</w:t>
      </w:r>
      <w:proofErr w:type="spellEnd"/>
      <w:r w:rsidR="008254DC">
        <w:rPr>
          <w:rFonts w:ascii="Arial" w:hAnsi="Arial" w:cs="Arial"/>
          <w:sz w:val="16"/>
          <w:szCs w:val="16"/>
          <w:vertAlign w:val="superscript"/>
          <w:lang w:val="en-US"/>
        </w:rPr>
        <w:t>–3</w:t>
      </w:r>
      <w:r w:rsidR="008254DC">
        <w:rPr>
          <w:rFonts w:ascii="Arial" w:hAnsi="Arial" w:cs="Arial"/>
          <w:lang w:val="en-US"/>
        </w:rPr>
        <w:t xml:space="preserve"> solutions of salicylic acid and sodium hydroxide are mixed a buffer solution can be formed. Salicylic acid is a monoprotic acid that can be represented by the formula HA.</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Select a mixture from the table below that would produce a buffer solution. Give a reason for your choice.</w:t>
      </w:r>
    </w:p>
    <w:p w:rsidR="008254DC" w:rsidRDefault="008254DC" w:rsidP="008254D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185"/>
        <w:gridCol w:w="3390"/>
        <w:gridCol w:w="3390"/>
      </w:tblGrid>
      <w:tr w:rsidR="008254DC" w:rsidTr="00BC4A58">
        <w:tblPrEx>
          <w:tblCellMar>
            <w:top w:w="0" w:type="dxa"/>
            <w:bottom w:w="0" w:type="dxa"/>
          </w:tblCellMar>
        </w:tblPrEx>
        <w:tc>
          <w:tcPr>
            <w:tcW w:w="122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96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Mixture</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Pr>
                <w:rFonts w:ascii="Arial" w:hAnsi="Arial" w:cs="Arial"/>
                <w:b/>
                <w:bCs/>
                <w:lang w:val="en-US"/>
              </w:rPr>
              <w:t xml:space="preserve">Volume of 1.00 </w:t>
            </w:r>
            <w:proofErr w:type="spellStart"/>
            <w:r>
              <w:rPr>
                <w:rFonts w:ascii="Arial" w:hAnsi="Arial" w:cs="Arial"/>
                <w:b/>
                <w:bCs/>
                <w:lang w:val="en-US"/>
              </w:rPr>
              <w:t>mol</w:t>
            </w:r>
            <w:proofErr w:type="spellEnd"/>
            <w:r>
              <w:rPr>
                <w:rFonts w:ascii="Arial" w:hAnsi="Arial" w:cs="Arial"/>
                <w:b/>
                <w:bCs/>
                <w:lang w:val="en-US"/>
              </w:rPr>
              <w:t xml:space="preserve"> </w:t>
            </w:r>
            <w:proofErr w:type="spellStart"/>
            <w:r>
              <w:rPr>
                <w:rFonts w:ascii="Arial" w:hAnsi="Arial" w:cs="Arial"/>
                <w:b/>
                <w:bCs/>
                <w:lang w:val="en-US"/>
              </w:rPr>
              <w:t>dm</w:t>
            </w:r>
            <w:proofErr w:type="spellEnd"/>
            <w:r>
              <w:rPr>
                <w:rFonts w:ascii="Arial" w:hAnsi="Arial" w:cs="Arial"/>
                <w:b/>
                <w:bCs/>
                <w:sz w:val="16"/>
                <w:szCs w:val="16"/>
                <w:vertAlign w:val="superscript"/>
                <w:lang w:val="en-US"/>
              </w:rPr>
              <w:t>–3</w:t>
            </w:r>
            <w:r>
              <w:rPr>
                <w:rFonts w:ascii="Arial" w:hAnsi="Arial" w:cs="Arial"/>
                <w:b/>
                <w:bCs/>
                <w:lang w:val="en-US"/>
              </w:rPr>
              <w:t xml:space="preserve"> </w:t>
            </w:r>
            <w:r>
              <w:rPr>
                <w:rFonts w:ascii="Arial" w:hAnsi="Arial" w:cs="Arial"/>
                <w:b/>
                <w:bCs/>
                <w:lang w:val="en-US"/>
              </w:rPr>
              <w:br/>
              <w:t>salicylic acid solution / cm</w:t>
            </w:r>
            <w:r>
              <w:rPr>
                <w:rFonts w:ascii="Arial" w:hAnsi="Arial" w:cs="Arial"/>
                <w:b/>
                <w:bCs/>
                <w:sz w:val="16"/>
                <w:szCs w:val="16"/>
                <w:vertAlign w:val="superscript"/>
                <w:lang w:val="en-US"/>
              </w:rPr>
              <w:t>3</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Pr>
                <w:rFonts w:ascii="Arial" w:hAnsi="Arial" w:cs="Arial"/>
                <w:b/>
                <w:bCs/>
                <w:lang w:val="en-US"/>
              </w:rPr>
              <w:t xml:space="preserve">Volume of 1.00 </w:t>
            </w:r>
            <w:proofErr w:type="spellStart"/>
            <w:r>
              <w:rPr>
                <w:rFonts w:ascii="Arial" w:hAnsi="Arial" w:cs="Arial"/>
                <w:b/>
                <w:bCs/>
                <w:lang w:val="en-US"/>
              </w:rPr>
              <w:t>mol</w:t>
            </w:r>
            <w:proofErr w:type="spellEnd"/>
            <w:r>
              <w:rPr>
                <w:rFonts w:ascii="Arial" w:hAnsi="Arial" w:cs="Arial"/>
                <w:b/>
                <w:bCs/>
                <w:lang w:val="en-US"/>
              </w:rPr>
              <w:t xml:space="preserve"> </w:t>
            </w:r>
            <w:proofErr w:type="spellStart"/>
            <w:r>
              <w:rPr>
                <w:rFonts w:ascii="Arial" w:hAnsi="Arial" w:cs="Arial"/>
                <w:b/>
                <w:bCs/>
                <w:lang w:val="en-US"/>
              </w:rPr>
              <w:t>dm</w:t>
            </w:r>
            <w:proofErr w:type="spellEnd"/>
            <w:r>
              <w:rPr>
                <w:rFonts w:ascii="Arial" w:hAnsi="Arial" w:cs="Arial"/>
                <w:b/>
                <w:bCs/>
                <w:sz w:val="16"/>
                <w:szCs w:val="16"/>
                <w:vertAlign w:val="superscript"/>
                <w:lang w:val="en-US"/>
              </w:rPr>
              <w:t>–3</w:t>
            </w:r>
            <w:r>
              <w:rPr>
                <w:rFonts w:ascii="Arial" w:hAnsi="Arial" w:cs="Arial"/>
                <w:b/>
                <w:bCs/>
                <w:lang w:val="en-US"/>
              </w:rPr>
              <w:t xml:space="preserve"> </w:t>
            </w:r>
            <w:r>
              <w:rPr>
                <w:rFonts w:ascii="Arial" w:hAnsi="Arial" w:cs="Arial"/>
                <w:b/>
                <w:bCs/>
                <w:lang w:val="en-US"/>
              </w:rPr>
              <w:br/>
              <w:t>sodium hydroxide solution / cm</w:t>
            </w:r>
            <w:r>
              <w:rPr>
                <w:rFonts w:ascii="Arial" w:hAnsi="Arial" w:cs="Arial"/>
                <w:b/>
                <w:bCs/>
                <w:sz w:val="16"/>
                <w:szCs w:val="16"/>
                <w:vertAlign w:val="superscript"/>
                <w:lang w:val="en-US"/>
              </w:rPr>
              <w:t>3</w:t>
            </w:r>
          </w:p>
        </w:tc>
      </w:tr>
      <w:tr w:rsidR="008254DC" w:rsidTr="00BC4A58">
        <w:tblPrEx>
          <w:tblCellMar>
            <w:top w:w="0" w:type="dxa"/>
            <w:bottom w:w="0" w:type="dxa"/>
          </w:tblCellMar>
        </w:tblPrEx>
        <w:tc>
          <w:tcPr>
            <w:tcW w:w="122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96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X</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75</w:t>
            </w:r>
          </w:p>
        </w:tc>
      </w:tr>
      <w:tr w:rsidR="008254DC" w:rsidTr="00BC4A58">
        <w:tblPrEx>
          <w:tblCellMar>
            <w:top w:w="0" w:type="dxa"/>
            <w:bottom w:w="0" w:type="dxa"/>
          </w:tblCellMar>
        </w:tblPrEx>
        <w:tc>
          <w:tcPr>
            <w:tcW w:w="122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96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Y</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r>
      <w:tr w:rsidR="008254DC" w:rsidTr="00BC4A58">
        <w:tblPrEx>
          <w:tblCellMar>
            <w:top w:w="0" w:type="dxa"/>
            <w:bottom w:w="0" w:type="dxa"/>
          </w:tblCellMar>
        </w:tblPrEx>
        <w:tc>
          <w:tcPr>
            <w:tcW w:w="1220" w:type="dxa"/>
            <w:tcBorders>
              <w:top w:val="nil"/>
              <w:left w:val="nil"/>
              <w:bottom w:val="nil"/>
              <w:right w:val="nil"/>
            </w:tcBorders>
            <w:vAlign w:val="center"/>
          </w:tcPr>
          <w:p w:rsidR="008254DC" w:rsidRDefault="008254DC" w:rsidP="00BC4A58">
            <w:pPr>
              <w:widowControl w:val="0"/>
              <w:autoSpaceDE w:val="0"/>
              <w:autoSpaceDN w:val="0"/>
              <w:adjustRightInd w:val="0"/>
              <w:spacing w:after="0" w:line="240" w:lineRule="auto"/>
              <w:ind w:left="960"/>
              <w:rPr>
                <w:rFonts w:ascii="Arial" w:hAnsi="Arial" w:cs="Arial"/>
                <w:sz w:val="16"/>
                <w:szCs w:val="16"/>
                <w:lang w:val="en-US"/>
              </w:rPr>
            </w:pPr>
            <w:r>
              <w:rPr>
                <w:rFonts w:ascii="Arial" w:hAnsi="Arial" w:cs="Arial"/>
                <w:sz w:val="16"/>
                <w:szCs w:val="16"/>
                <w:lang w:val="en-US"/>
              </w:rPr>
              <w:t> </w:t>
            </w:r>
          </w:p>
        </w:tc>
        <w:tc>
          <w:tcPr>
            <w:tcW w:w="1185"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Z</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75</w:t>
            </w:r>
          </w:p>
        </w:tc>
        <w:tc>
          <w:tcPr>
            <w:tcW w:w="3390" w:type="dxa"/>
            <w:tcBorders>
              <w:top w:val="single" w:sz="8" w:space="0" w:color="000000"/>
              <w:left w:val="single" w:sz="8" w:space="0" w:color="000000"/>
              <w:bottom w:val="single" w:sz="8" w:space="0" w:color="000000"/>
              <w:right w:val="single" w:sz="8" w:space="0" w:color="000000"/>
            </w:tcBorders>
          </w:tcPr>
          <w:p w:rsidR="008254DC" w:rsidRDefault="008254DC" w:rsidP="00BC4A58">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w:t>
            </w:r>
          </w:p>
        </w:tc>
      </w:tr>
    </w:tbl>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Mixture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Another mixture, formed by adding 50 cm</w:t>
      </w:r>
      <w:r>
        <w:rPr>
          <w:rFonts w:ascii="Arial" w:hAnsi="Arial" w:cs="Arial"/>
          <w:sz w:val="16"/>
          <w:szCs w:val="16"/>
          <w:vertAlign w:val="superscript"/>
          <w:lang w:val="en-US"/>
        </w:rPr>
        <w:t>3</w:t>
      </w:r>
      <w:r>
        <w:rPr>
          <w:rFonts w:ascii="Arial" w:hAnsi="Arial" w:cs="Arial"/>
          <w:lang w:val="en-US"/>
        </w:rPr>
        <w:t xml:space="preserve"> of 1.00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6"/>
          <w:szCs w:val="16"/>
          <w:vertAlign w:val="superscript"/>
          <w:lang w:val="en-US"/>
        </w:rPr>
        <w:t>–3</w:t>
      </w:r>
      <w:r>
        <w:rPr>
          <w:rFonts w:ascii="Arial" w:hAnsi="Arial" w:cs="Arial"/>
          <w:lang w:val="en-US"/>
        </w:rPr>
        <w:t xml:space="preserve"> salicylic acid solution to 25 cm</w:t>
      </w:r>
      <w:r>
        <w:rPr>
          <w:rFonts w:ascii="Arial" w:hAnsi="Arial" w:cs="Arial"/>
          <w:sz w:val="16"/>
          <w:szCs w:val="16"/>
          <w:vertAlign w:val="superscript"/>
          <w:lang w:val="en-US"/>
        </w:rPr>
        <w:t>3</w:t>
      </w:r>
      <w:r>
        <w:rPr>
          <w:rFonts w:ascii="Arial" w:hAnsi="Arial" w:cs="Arial"/>
          <w:lang w:val="en-US"/>
        </w:rPr>
        <w:t xml:space="preserve"> of 1.00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6"/>
          <w:szCs w:val="16"/>
          <w:vertAlign w:val="superscript"/>
          <w:lang w:val="en-US"/>
        </w:rPr>
        <w:t>–3</w:t>
      </w:r>
      <w:r>
        <w:rPr>
          <w:rFonts w:ascii="Arial" w:hAnsi="Arial" w:cs="Arial"/>
          <w:lang w:val="en-US"/>
        </w:rPr>
        <w:t xml:space="preserve"> sodium hydroxide solution, can be used to determine the </w:t>
      </w:r>
      <w:proofErr w:type="spellStart"/>
      <w:r>
        <w:rPr>
          <w:rFonts w:ascii="Arial" w:hAnsi="Arial" w:cs="Arial"/>
          <w:lang w:val="en-US"/>
        </w:rPr>
        <w:t>p</w:t>
      </w:r>
      <w:r>
        <w:rPr>
          <w:rFonts w:ascii="Arial" w:hAnsi="Arial" w:cs="Arial"/>
          <w:i/>
          <w:iCs/>
          <w:lang w:val="en-US"/>
        </w:rPr>
        <w:t>K</w:t>
      </w:r>
      <w:r>
        <w:rPr>
          <w:rFonts w:ascii="Arial" w:hAnsi="Arial" w:cs="Arial"/>
          <w:sz w:val="16"/>
          <w:szCs w:val="16"/>
          <w:vertAlign w:val="subscript"/>
          <w:lang w:val="en-US"/>
        </w:rPr>
        <w:t>a</w:t>
      </w:r>
      <w:proofErr w:type="spellEnd"/>
      <w:r>
        <w:rPr>
          <w:rFonts w:ascii="Arial" w:hAnsi="Arial" w:cs="Arial"/>
          <w:lang w:val="en-US"/>
        </w:rPr>
        <w:t xml:space="preserve"> of salicylic acid. State </w:t>
      </w:r>
      <w:r>
        <w:rPr>
          <w:rFonts w:ascii="Arial" w:hAnsi="Arial" w:cs="Arial"/>
          <w:b/>
          <w:bCs/>
          <w:lang w:val="en-US"/>
        </w:rPr>
        <w:t>one</w:t>
      </w:r>
      <w:r>
        <w:rPr>
          <w:rFonts w:ascii="Arial" w:hAnsi="Arial" w:cs="Arial"/>
          <w:lang w:val="en-US"/>
        </w:rPr>
        <w:t xml:space="preserve"> measurement that must be made for this mixture and explain how this measurement can be used to determine the </w:t>
      </w:r>
      <w:proofErr w:type="spellStart"/>
      <w:r>
        <w:rPr>
          <w:rFonts w:ascii="Arial" w:hAnsi="Arial" w:cs="Arial"/>
          <w:lang w:val="en-US"/>
        </w:rPr>
        <w:t>pK</w:t>
      </w:r>
      <w:r>
        <w:rPr>
          <w:rFonts w:ascii="Arial" w:hAnsi="Arial" w:cs="Arial"/>
          <w:sz w:val="16"/>
          <w:szCs w:val="16"/>
          <w:vertAlign w:val="subscript"/>
          <w:lang w:val="en-US"/>
        </w:rPr>
        <w:t>a</w:t>
      </w:r>
      <w:proofErr w:type="spellEnd"/>
      <w:r>
        <w:rPr>
          <w:rFonts w:ascii="Arial" w:hAnsi="Arial" w:cs="Arial"/>
          <w:lang w:val="en-US"/>
        </w:rPr>
        <w:t xml:space="preserve"> of salicylic acid.</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Measurement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Explanation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p>
    <w:p w:rsidR="008254DC" w:rsidRDefault="008254DC">
      <w:pPr>
        <w:rPr>
          <w:rFonts w:ascii="Arial" w:hAnsi="Arial" w:cs="Arial"/>
          <w:b/>
          <w:bCs/>
          <w:lang w:val="en-US"/>
        </w:rPr>
      </w:pPr>
      <w:r>
        <w:rPr>
          <w:rFonts w:ascii="Arial" w:hAnsi="Arial" w:cs="Arial"/>
          <w:b/>
          <w:bCs/>
          <w:lang w:val="en-US"/>
        </w:rPr>
        <w:br w:type="page"/>
      </w:r>
    </w:p>
    <w:p w:rsidR="008254DC" w:rsidRDefault="000E1EDE"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5</w:t>
      </w:r>
      <w:r w:rsidR="008254DC">
        <w:rPr>
          <w:rFonts w:ascii="Arial" w:hAnsi="Arial" w:cs="Arial"/>
          <w:b/>
          <w:bCs/>
          <w:lang w:val="en-US"/>
        </w:rPr>
        <w:t>.</w:t>
      </w:r>
      <w:r w:rsidR="008254DC">
        <w:rPr>
          <w:rFonts w:ascii="Arial" w:hAnsi="Arial" w:cs="Arial"/>
          <w:b/>
          <w:bCs/>
          <w:lang w:val="en-US"/>
        </w:rPr>
        <w:tab/>
      </w:r>
      <w:r w:rsidR="008254DC">
        <w:rPr>
          <w:rFonts w:ascii="Arial" w:hAnsi="Arial" w:cs="Arial"/>
          <w:lang w:val="en-US"/>
        </w:rPr>
        <w:t>An electrochemical cell is shown in the diagram. In this cell, the amount of copper in the electrodes is much greater than the amount of copper ions in the copper sulfate solutions.</w:t>
      </w:r>
    </w:p>
    <w:p w:rsidR="008254DC" w:rsidRDefault="008254DC" w:rsidP="008254DC">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eastAsia="en-GB"/>
        </w:rPr>
        <w:drawing>
          <wp:inline distT="0" distB="0" distL="0" distR="0">
            <wp:extent cx="5200650" cy="257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571750"/>
                    </a:xfrm>
                    <a:prstGeom prst="rect">
                      <a:avLst/>
                    </a:prstGeom>
                    <a:noFill/>
                    <a:ln>
                      <a:noFill/>
                    </a:ln>
                  </pic:spPr>
                </pic:pic>
              </a:graphicData>
            </a:graphic>
          </wp:inline>
        </w:drawing>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Explain how the salt bridge </w:t>
      </w:r>
      <w:r>
        <w:rPr>
          <w:rFonts w:ascii="Arial" w:hAnsi="Arial" w:cs="Arial"/>
          <w:b/>
          <w:bCs/>
          <w:lang w:val="en-US"/>
        </w:rPr>
        <w:t>D</w:t>
      </w:r>
      <w:r>
        <w:rPr>
          <w:rFonts w:ascii="Arial" w:hAnsi="Arial" w:cs="Arial"/>
          <w:lang w:val="en-US"/>
        </w:rPr>
        <w:t xml:space="preserve"> provides an electrical connection between the two electrodes.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Suggest why potassium chloride would </w:t>
      </w:r>
      <w:r>
        <w:rPr>
          <w:rFonts w:ascii="Arial" w:hAnsi="Arial" w:cs="Arial"/>
          <w:b/>
          <w:bCs/>
          <w:lang w:val="en-US"/>
        </w:rPr>
        <w:t>not</w:t>
      </w:r>
      <w:r>
        <w:rPr>
          <w:rFonts w:ascii="Arial" w:hAnsi="Arial" w:cs="Arial"/>
          <w:lang w:val="en-US"/>
        </w:rPr>
        <w:t xml:space="preserve"> be a suitable salt for the salt bridge in this cell.</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the external circuit of this cell, the electrons flow through the ammeter from right to left.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why the electrons move in this direction.</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Explain why the current in the external circuit of this cell falls to zero after the cell has operated for some time.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(e)     The simplified electrode reactions in a rechargeable lithium cell are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Electrode </w:t>
      </w:r>
      <w:r>
        <w:rPr>
          <w:rFonts w:ascii="Arial" w:hAnsi="Arial" w:cs="Arial"/>
          <w:b/>
          <w:bCs/>
          <w:lang w:val="en-US"/>
        </w:rPr>
        <w:t>A</w:t>
      </w:r>
      <w:r>
        <w:rPr>
          <w:rFonts w:ascii="Arial" w:hAnsi="Arial" w:cs="Arial"/>
          <w:lang w:val="en-US"/>
        </w:rPr>
        <w:t>    Li</w:t>
      </w:r>
      <w:r>
        <w:rPr>
          <w:rFonts w:ascii="Arial" w:hAnsi="Arial" w:cs="Arial"/>
          <w:sz w:val="16"/>
          <w:szCs w:val="16"/>
          <w:vertAlign w:val="superscript"/>
          <w:lang w:val="en-US"/>
        </w:rPr>
        <w:t>+</w:t>
      </w:r>
      <w:r>
        <w:rPr>
          <w:rFonts w:ascii="Arial" w:hAnsi="Arial" w:cs="Arial"/>
          <w:lang w:val="en-US"/>
        </w:rPr>
        <w:t xml:space="preserve"> + MnO</w:t>
      </w:r>
      <w:r>
        <w:rPr>
          <w:rFonts w:ascii="Arial" w:hAnsi="Arial" w:cs="Arial"/>
          <w:sz w:val="16"/>
          <w:szCs w:val="16"/>
          <w:vertAlign w:val="subscript"/>
          <w:lang w:val="en-US"/>
        </w:rPr>
        <w:t>2</w:t>
      </w:r>
      <w:r>
        <w:rPr>
          <w:rFonts w:ascii="Arial" w:hAnsi="Arial" w:cs="Arial"/>
          <w:lang w:val="en-US"/>
        </w:rPr>
        <w:t xml:space="preserve"> + e</w:t>
      </w:r>
      <w:r>
        <w:rPr>
          <w:rFonts w:ascii="Arial" w:hAnsi="Arial" w:cs="Arial"/>
          <w:sz w:val="16"/>
          <w:szCs w:val="16"/>
          <w:vertAlign w:val="superscript"/>
          <w:lang w:val="en-US"/>
        </w:rPr>
        <w:t>−</w:t>
      </w:r>
      <w:r>
        <w:rPr>
          <w:rFonts w:ascii="Arial" w:hAnsi="Arial" w:cs="Arial"/>
          <w:lang w:val="en-US"/>
        </w:rPr>
        <w:t xml:space="preserve">  </w:t>
      </w:r>
      <w:r>
        <w:rPr>
          <w:rFonts w:ascii="Arial" w:hAnsi="Arial" w:cs="Arial"/>
          <w:noProof/>
          <w:lang w:eastAsia="en-GB"/>
        </w:rPr>
        <w:drawing>
          <wp:inline distT="0" distB="0" distL="0" distR="0">
            <wp:extent cx="39052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xml:space="preserve"> LiMnO</w:t>
      </w:r>
      <w:r>
        <w:rPr>
          <w:rFonts w:ascii="Arial" w:hAnsi="Arial" w:cs="Arial"/>
          <w:sz w:val="16"/>
          <w:szCs w:val="16"/>
          <w:vertAlign w:val="subscript"/>
          <w:lang w:val="en-US"/>
        </w:rPr>
        <w:t>2</w:t>
      </w:r>
      <w:r>
        <w:rPr>
          <w:rFonts w:ascii="Arial" w:hAnsi="Arial" w:cs="Arial"/>
          <w:lang w:val="en-US"/>
        </w:rPr>
        <w:t>     </w:t>
      </w:r>
      <w:r>
        <w:rPr>
          <w:rFonts w:ascii="Arial" w:hAnsi="Arial" w:cs="Arial"/>
          <w:i/>
          <w:iCs/>
          <w:lang w:val="en-US"/>
        </w:rPr>
        <w:t>E =</w:t>
      </w:r>
      <w:r>
        <w:rPr>
          <w:rFonts w:ascii="Arial" w:hAnsi="Arial" w:cs="Arial"/>
          <w:lang w:val="en-US"/>
        </w:rPr>
        <w:t xml:space="preserve"> −0.15 V</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Electrode </w:t>
      </w:r>
      <w:r>
        <w:rPr>
          <w:rFonts w:ascii="Arial" w:hAnsi="Arial" w:cs="Arial"/>
          <w:b/>
          <w:bCs/>
          <w:lang w:val="en-US"/>
        </w:rPr>
        <w:t>B</w:t>
      </w:r>
      <w:r>
        <w:rPr>
          <w:rFonts w:ascii="Arial" w:hAnsi="Arial" w:cs="Arial"/>
          <w:lang w:val="en-US"/>
        </w:rPr>
        <w:t>    Li</w:t>
      </w:r>
      <w:r>
        <w:rPr>
          <w:rFonts w:ascii="Arial" w:hAnsi="Arial" w:cs="Arial"/>
          <w:sz w:val="16"/>
          <w:szCs w:val="16"/>
          <w:vertAlign w:val="superscript"/>
          <w:lang w:val="en-US"/>
        </w:rPr>
        <w:t>+</w:t>
      </w:r>
      <w:r>
        <w:rPr>
          <w:rFonts w:ascii="Arial" w:hAnsi="Arial" w:cs="Arial"/>
          <w:lang w:val="en-US"/>
        </w:rPr>
        <w:t xml:space="preserve"> + e</w:t>
      </w:r>
      <w:r>
        <w:rPr>
          <w:rFonts w:ascii="Arial" w:hAnsi="Arial" w:cs="Arial"/>
          <w:sz w:val="16"/>
          <w:szCs w:val="16"/>
          <w:vertAlign w:val="superscript"/>
          <w:lang w:val="en-US"/>
        </w:rPr>
        <w:t>−</w:t>
      </w:r>
      <w:r>
        <w:rPr>
          <w:rFonts w:ascii="Arial" w:hAnsi="Arial" w:cs="Arial"/>
          <w:lang w:val="en-US"/>
        </w:rPr>
        <w:t> </w:t>
      </w:r>
      <w:r>
        <w:rPr>
          <w:rFonts w:ascii="Arial" w:hAnsi="Arial" w:cs="Arial"/>
          <w:noProof/>
          <w:lang w:eastAsia="en-GB"/>
        </w:rPr>
        <w:drawing>
          <wp:inline distT="0" distB="0" distL="0" distR="0">
            <wp:extent cx="39052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xml:space="preserve"> Li</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Electrode </w:t>
      </w:r>
      <w:r>
        <w:rPr>
          <w:rFonts w:ascii="Arial" w:hAnsi="Arial" w:cs="Arial"/>
          <w:b/>
          <w:bCs/>
          <w:lang w:val="en-US"/>
        </w:rPr>
        <w:t>B</w:t>
      </w:r>
      <w:r>
        <w:rPr>
          <w:rFonts w:ascii="Arial" w:hAnsi="Arial" w:cs="Arial"/>
          <w:lang w:val="en-US"/>
        </w:rPr>
        <w:t>    is the negative electrode.</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The </w:t>
      </w:r>
      <w:proofErr w:type="spellStart"/>
      <w:r>
        <w:rPr>
          <w:rFonts w:ascii="Arial" w:hAnsi="Arial" w:cs="Arial"/>
          <w:lang w:val="en-US"/>
        </w:rPr>
        <w:t>e.m.f</w:t>
      </w:r>
      <w:proofErr w:type="spellEnd"/>
      <w:r>
        <w:rPr>
          <w:rFonts w:ascii="Arial" w:hAnsi="Arial" w:cs="Arial"/>
          <w:lang w:val="en-US"/>
        </w:rPr>
        <w:t>. of this cell is 2.90 V.</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this information to calculate a value for the electrode potential of electrode </w:t>
      </w:r>
      <w:r>
        <w:rPr>
          <w:rFonts w:ascii="Arial" w:hAnsi="Arial" w:cs="Arial"/>
          <w:b/>
          <w:bCs/>
          <w:lang w:val="en-US"/>
        </w:rPr>
        <w:t>B</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equation for the overall reaction that occurs when this lithium cell is being </w:t>
      </w:r>
      <w:r>
        <w:rPr>
          <w:rFonts w:ascii="Arial" w:hAnsi="Arial" w:cs="Arial"/>
          <w:b/>
          <w:bCs/>
          <w:lang w:val="en-US"/>
        </w:rPr>
        <w:t>recharged</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why the recharging of a lithium cell may lead to release of carbon dioxide into the atmosphere.</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p>
    <w:p w:rsidR="008254DC" w:rsidRDefault="000E1EDE"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6</w:t>
      </w:r>
      <w:r w:rsidR="008254DC">
        <w:rPr>
          <w:rFonts w:ascii="Arial" w:hAnsi="Arial" w:cs="Arial"/>
          <w:b/>
          <w:bCs/>
          <w:lang w:val="en-US"/>
        </w:rPr>
        <w:t>.</w:t>
      </w:r>
      <w:r w:rsidR="008254DC">
        <w:rPr>
          <w:rFonts w:ascii="Arial" w:hAnsi="Arial" w:cs="Arial"/>
          <w:b/>
          <w:bCs/>
          <w:lang w:val="en-US"/>
        </w:rPr>
        <w:tab/>
      </w:r>
      <w:r w:rsidR="008254DC">
        <w:rPr>
          <w:rFonts w:ascii="Arial" w:hAnsi="Arial" w:cs="Arial"/>
          <w:lang w:val="en-US"/>
        </w:rPr>
        <w:t xml:space="preserve">In a test, aqueous iron(III) ions are reduced to aqueous iron(II) ions by iodide ions. </w:t>
      </w:r>
      <w:r w:rsidR="008254DC">
        <w:rPr>
          <w:rFonts w:ascii="Arial" w:hAnsi="Arial" w:cs="Arial"/>
          <w:lang w:val="en-US"/>
        </w:rPr>
        <w:br/>
        <w:t>This reaction could be used to provide electrical energy in a cell.</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standard electrode potential for the reduction of iron(III) ions into iron(II) ions can be measured by connecting a suitable electrode to a standard hydrogen electrode. </w:t>
      </w:r>
      <w:r>
        <w:rPr>
          <w:rFonts w:ascii="Arial" w:hAnsi="Arial" w:cs="Arial"/>
          <w:lang w:val="en-US"/>
        </w:rPr>
        <w:br/>
        <w:t xml:space="preserve">Draw a clearly labelled diagram to show the components and reagents, including their concentrations, in this Fe(III)/Fe(II) electrode. </w:t>
      </w:r>
      <w:r>
        <w:rPr>
          <w:rFonts w:ascii="Arial" w:hAnsi="Arial" w:cs="Arial"/>
          <w:lang w:val="en-US"/>
        </w:rPr>
        <w:br/>
        <w:t xml:space="preserve">Do </w:t>
      </w:r>
      <w:r>
        <w:rPr>
          <w:rFonts w:ascii="Arial" w:hAnsi="Arial" w:cs="Arial"/>
          <w:b/>
          <w:bCs/>
          <w:lang w:val="en-US"/>
        </w:rPr>
        <w:t>not</w:t>
      </w:r>
      <w:r>
        <w:rPr>
          <w:rFonts w:ascii="Arial" w:hAnsi="Arial" w:cs="Arial"/>
          <w:lang w:val="en-US"/>
        </w:rPr>
        <w:t xml:space="preserve"> draw the salt bridge or the standard hydrogen electrode.</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A salt bridge is used to complete the cell. This could be prepared using potassium nitrate solution and filter paper.</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the purpose of the salt bridge. State </w:t>
      </w:r>
      <w:r>
        <w:rPr>
          <w:rFonts w:ascii="Arial" w:hAnsi="Arial" w:cs="Arial"/>
          <w:b/>
          <w:bCs/>
          <w:lang w:val="en-US"/>
        </w:rPr>
        <w:t>one</w:t>
      </w:r>
      <w:r>
        <w:rPr>
          <w:rFonts w:ascii="Arial" w:hAnsi="Arial" w:cs="Arial"/>
          <w:lang w:val="en-US"/>
        </w:rPr>
        <w:t xml:space="preserve"> essential requirement of the soluble ionic compound used to make the salt bridge.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Purpose of salt bridge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Requirement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p>
    <w:p w:rsidR="008254DC" w:rsidRDefault="000E1EDE" w:rsidP="008254DC">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7</w:t>
      </w:r>
      <w:r w:rsidR="008254DC">
        <w:rPr>
          <w:rFonts w:ascii="Arial" w:hAnsi="Arial" w:cs="Arial"/>
          <w:b/>
          <w:bCs/>
          <w:lang w:val="en-US"/>
        </w:rPr>
        <w:t>.</w:t>
      </w:r>
      <w:r w:rsidR="008254DC">
        <w:rPr>
          <w:rFonts w:ascii="Arial" w:hAnsi="Arial" w:cs="Arial"/>
          <w:lang w:val="en-US"/>
        </w:rPr>
        <w:t>      </w:t>
      </w:r>
      <w:r w:rsidR="008254DC">
        <w:rPr>
          <w:rFonts w:ascii="Arial" w:hAnsi="Arial" w:cs="Arial"/>
          <w:lang w:val="en-US"/>
        </w:rPr>
        <w:t xml:space="preserve">(a)     The ion </w:t>
      </w:r>
      <w:r w:rsidR="008254DC">
        <w:rPr>
          <w:rFonts w:ascii="Arial" w:hAnsi="Arial" w:cs="Arial"/>
          <w:noProof/>
          <w:lang w:eastAsia="en-GB"/>
        </w:rPr>
        <w:drawing>
          <wp:inline distT="0" distB="0" distL="0" distR="0">
            <wp:extent cx="4476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8254DC">
        <w:rPr>
          <w:rFonts w:ascii="Arial" w:hAnsi="Arial" w:cs="Arial"/>
          <w:lang w:val="en-US"/>
        </w:rPr>
        <w:t> can act as a bidentate ligand.</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the meaning of the term </w:t>
      </w:r>
      <w:r>
        <w:rPr>
          <w:rFonts w:ascii="Arial" w:hAnsi="Arial" w:cs="Arial"/>
          <w:i/>
          <w:iCs/>
          <w:lang w:val="en-US"/>
        </w:rPr>
        <w:t>bidentate ligand</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Sketch the structure of the octahedral complex ion formed by Fe</w:t>
      </w:r>
      <w:r>
        <w:rPr>
          <w:rFonts w:ascii="Arial" w:hAnsi="Arial" w:cs="Arial"/>
          <w:sz w:val="14"/>
          <w:szCs w:val="14"/>
          <w:vertAlign w:val="superscript"/>
          <w:lang w:val="en-US"/>
        </w:rPr>
        <w:t>3+</w:t>
      </w:r>
      <w:r>
        <w:rPr>
          <w:rFonts w:ascii="Arial" w:hAnsi="Arial" w:cs="Arial"/>
          <w:lang w:val="en-US"/>
        </w:rPr>
        <w:t xml:space="preserve"> ions which contains </w:t>
      </w:r>
      <w:r>
        <w:rPr>
          <w:rFonts w:ascii="Arial" w:hAnsi="Arial" w:cs="Arial"/>
          <w:noProof/>
          <w:lang w:eastAsia="en-GB"/>
        </w:rPr>
        <w:drawing>
          <wp:inline distT="0" distB="0" distL="0" distR="0">
            <wp:extent cx="4476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lang w:val="en-US"/>
        </w:rPr>
        <w:t> as the only ligand. Include the overall charge on the complex ion.</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Explain the meaning of the term </w:t>
      </w:r>
      <w:r>
        <w:rPr>
          <w:rFonts w:ascii="Arial" w:hAnsi="Arial" w:cs="Arial"/>
          <w:i/>
          <w:iCs/>
          <w:lang w:val="en-US"/>
        </w:rPr>
        <w:t>chelate effect</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chloride ion can act as a </w:t>
      </w:r>
      <w:proofErr w:type="spellStart"/>
      <w:r>
        <w:rPr>
          <w:rFonts w:ascii="Arial" w:hAnsi="Arial" w:cs="Arial"/>
          <w:lang w:val="en-US"/>
        </w:rPr>
        <w:t>monodentate</w:t>
      </w:r>
      <w:proofErr w:type="spellEnd"/>
      <w:r>
        <w:rPr>
          <w:rFonts w:ascii="Arial" w:hAnsi="Arial" w:cs="Arial"/>
          <w:lang w:val="en-US"/>
        </w:rPr>
        <w:t xml:space="preserve"> ligand.</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the formula of the linear complex formed when an excess of concentrated hydrochloric acid is added to silver chloride.</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metal(II) ions do not usually form octahedral complexes when chloride ions are the only ligands.</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(d)     The concentration of </w:t>
      </w:r>
      <w:r>
        <w:rPr>
          <w:rFonts w:ascii="Arial" w:hAnsi="Arial" w:cs="Arial"/>
          <w:noProof/>
          <w:lang w:eastAsia="en-GB"/>
        </w:rPr>
        <w:drawing>
          <wp:inline distT="0" distB="0" distL="0" distR="0">
            <wp:extent cx="4476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lang w:val="en-US"/>
        </w:rPr>
        <w:t xml:space="preserve"> ions can be determined by titration in acidic solution using a standard solution of potassium </w:t>
      </w:r>
      <w:proofErr w:type="spellStart"/>
      <w:r>
        <w:rPr>
          <w:rFonts w:ascii="Arial" w:hAnsi="Arial" w:cs="Arial"/>
          <w:lang w:val="en-US"/>
        </w:rPr>
        <w:t>manganate</w:t>
      </w:r>
      <w:proofErr w:type="spellEnd"/>
      <w:r>
        <w:rPr>
          <w:rFonts w:ascii="Arial" w:hAnsi="Arial" w:cs="Arial"/>
          <w:lang w:val="en-US"/>
        </w:rPr>
        <w:t xml:space="preserve">(VII). At room temperature, the reaction proceeds very slowly at first but becomes faster after some of the </w:t>
      </w:r>
      <w:proofErr w:type="spellStart"/>
      <w:r>
        <w:rPr>
          <w:rFonts w:ascii="Arial" w:hAnsi="Arial" w:cs="Arial"/>
          <w:lang w:val="en-US"/>
        </w:rPr>
        <w:t>manganate</w:t>
      </w:r>
      <w:proofErr w:type="spellEnd"/>
      <w:r>
        <w:rPr>
          <w:rFonts w:ascii="Arial" w:hAnsi="Arial" w:cs="Arial"/>
          <w:lang w:val="en-US"/>
        </w:rPr>
        <w:t>(VII) ions have reacted.</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why this reaction is very slow at first.</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This is an example of an autocatalytic reaction. State the meaning of the term </w:t>
      </w:r>
      <w:r>
        <w:rPr>
          <w:rFonts w:ascii="Arial" w:hAnsi="Arial" w:cs="Arial"/>
          <w:i/>
          <w:iCs/>
          <w:lang w:val="en-US"/>
        </w:rPr>
        <w:t xml:space="preserve">autocatalytic </w:t>
      </w:r>
      <w:r>
        <w:rPr>
          <w:rFonts w:ascii="Arial" w:hAnsi="Arial" w:cs="Arial"/>
          <w:lang w:val="en-US"/>
        </w:rPr>
        <w:t>and identify the catalyst.</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Meaning of the term autocatalytic </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Catalyst</w:t>
      </w:r>
      <w:r>
        <w:rPr>
          <w:rFonts w:ascii="Arial" w:hAnsi="Arial" w:cs="Arial"/>
          <w:lang w:val="en-US"/>
        </w:rPr>
        <w:t xml:space="preserve"> ................................................................................................</w:t>
      </w:r>
    </w:p>
    <w:p w:rsidR="008254DC" w:rsidRDefault="008254DC" w:rsidP="008254D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how this catalyst might be involved in the reaction.</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0E1EDE" w:rsidP="008254DC">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8</w:t>
      </w:r>
      <w:r w:rsidR="008254DC">
        <w:rPr>
          <w:rFonts w:ascii="Arial" w:hAnsi="Arial" w:cs="Arial"/>
          <w:b/>
          <w:bCs/>
          <w:lang w:val="en-US"/>
        </w:rPr>
        <w:t>.</w:t>
      </w:r>
      <w:r>
        <w:rPr>
          <w:rFonts w:ascii="Arial" w:hAnsi="Arial" w:cs="Arial"/>
          <w:lang w:val="en-US"/>
        </w:rPr>
        <w:t>      </w:t>
      </w:r>
      <w:r w:rsidR="008254DC">
        <w:rPr>
          <w:rFonts w:ascii="Arial" w:hAnsi="Arial" w:cs="Arial"/>
          <w:lang w:val="en-US"/>
        </w:rPr>
        <w:t>(a)     In the Haber Process for the manufacture of ammonia, the following equilibrium is established in the presence of a heterogeneous catalyst.</w:t>
      </w:r>
    </w:p>
    <w:p w:rsidR="008254DC" w:rsidRDefault="008254DC" w:rsidP="008254DC">
      <w:pPr>
        <w:widowControl w:val="0"/>
        <w:autoSpaceDE w:val="0"/>
        <w:autoSpaceDN w:val="0"/>
        <w:adjustRightInd w:val="0"/>
        <w:spacing w:before="240" w:after="0" w:line="240" w:lineRule="auto"/>
        <w:ind w:left="2268" w:right="567" w:firstLine="1134"/>
        <w:rPr>
          <w:rFonts w:ascii="Arial" w:hAnsi="Arial" w:cs="Arial"/>
          <w:lang w:val="en-US"/>
        </w:rPr>
      </w:pPr>
      <w:r>
        <w:rPr>
          <w:rFonts w:ascii="Arial" w:hAnsi="Arial" w:cs="Arial"/>
          <w:lang w:val="en-US"/>
        </w:rPr>
        <w:t>N</w:t>
      </w:r>
      <w:r>
        <w:rPr>
          <w:rFonts w:ascii="Arial" w:hAnsi="Arial" w:cs="Arial"/>
          <w:sz w:val="14"/>
          <w:szCs w:val="14"/>
          <w:vertAlign w:val="subscript"/>
          <w:lang w:val="en-US"/>
        </w:rPr>
        <w:t>2</w:t>
      </w:r>
      <w:r>
        <w:rPr>
          <w:rFonts w:ascii="Arial" w:hAnsi="Arial" w:cs="Arial"/>
          <w:lang w:val="en-US"/>
        </w:rPr>
        <w:t>(g) + 3H</w:t>
      </w:r>
      <w:r>
        <w:rPr>
          <w:rFonts w:ascii="Arial" w:hAnsi="Arial" w:cs="Arial"/>
          <w:sz w:val="14"/>
          <w:szCs w:val="14"/>
          <w:vertAlign w:val="subscript"/>
          <w:lang w:val="en-US"/>
        </w:rPr>
        <w:t>2</w:t>
      </w:r>
      <w:r>
        <w:rPr>
          <w:rFonts w:ascii="Arial" w:hAnsi="Arial" w:cs="Arial"/>
          <w:lang w:val="en-US"/>
        </w:rPr>
        <w:t xml:space="preserve">(g) </w:t>
      </w:r>
      <w:r>
        <w:rPr>
          <w:rFonts w:ascii="Arial" w:hAnsi="Arial" w:cs="Arial"/>
          <w:noProof/>
          <w:lang w:eastAsia="en-GB"/>
        </w:rPr>
        <w:drawing>
          <wp:inline distT="0" distB="0" distL="0" distR="0">
            <wp:extent cx="4000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Arial" w:hAnsi="Arial" w:cs="Arial"/>
          <w:lang w:val="en-US"/>
        </w:rPr>
        <w:t> 2NH</w:t>
      </w:r>
      <w:r>
        <w:rPr>
          <w:rFonts w:ascii="Arial" w:hAnsi="Arial" w:cs="Arial"/>
          <w:sz w:val="14"/>
          <w:szCs w:val="14"/>
          <w:vertAlign w:val="subscript"/>
          <w:lang w:val="en-US"/>
        </w:rPr>
        <w:t>3</w:t>
      </w:r>
      <w:r>
        <w:rPr>
          <w:rFonts w:ascii="Arial" w:hAnsi="Arial" w:cs="Arial"/>
          <w:lang w:val="en-US"/>
        </w:rPr>
        <w:t>(g)</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Identify the heterogeneous catalyst used in this process and state what is meant by the term </w:t>
      </w:r>
      <w:r>
        <w:rPr>
          <w:rFonts w:ascii="Arial" w:hAnsi="Arial" w:cs="Arial"/>
          <w:i/>
          <w:iCs/>
          <w:lang w:val="en-US"/>
        </w:rPr>
        <w:t>heterogeneous</w:t>
      </w: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heterogeneous catalyst can become poisoned by impurities in the reactants. </w:t>
      </w:r>
      <w:r>
        <w:rPr>
          <w:rFonts w:ascii="Arial" w:hAnsi="Arial" w:cs="Arial"/>
          <w:lang w:val="en-US"/>
        </w:rPr>
        <w:br/>
        <w:t>Give one substance which poisons the heterogeneous catalyst used in the Haber Process and explain how this substance poisons the catalyst.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8254DC">
      <w:pPr>
        <w:widowControl w:val="0"/>
        <w:autoSpaceDE w:val="0"/>
        <w:autoSpaceDN w:val="0"/>
        <w:adjustRightInd w:val="0"/>
        <w:spacing w:after="0" w:line="240" w:lineRule="auto"/>
        <w:jc w:val="right"/>
        <w:rPr>
          <w:rFonts w:ascii="Arial" w:hAnsi="Arial" w:cs="Arial"/>
          <w:b/>
          <w:bCs/>
          <w:sz w:val="20"/>
          <w:szCs w:val="20"/>
          <w:lang w:val="en-US"/>
        </w:rPr>
      </w:pP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State what is observed when an excess of aqueous ammonia reacts with an aqueous iron(II) salt. Write an equation for this reaction.</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E1EDE" w:rsidRDefault="000E1EDE" w:rsidP="000E1ED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8254DC" w:rsidRDefault="000E1EDE"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8254DC">
        <w:rPr>
          <w:rFonts w:ascii="Arial" w:hAnsi="Arial" w:cs="Arial"/>
          <w:b/>
          <w:bCs/>
          <w:sz w:val="20"/>
          <w:szCs w:val="20"/>
          <w:lang w:val="en-US"/>
        </w:rPr>
        <w:t>(Total 9 marks)</w:t>
      </w:r>
    </w:p>
    <w:p w:rsidR="008254DC" w:rsidRDefault="008254DC"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8254DC" w:rsidRDefault="000E1EDE"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8254DC">
        <w:rPr>
          <w:rFonts w:ascii="Arial" w:hAnsi="Arial" w:cs="Arial"/>
          <w:b/>
          <w:bCs/>
          <w:lang w:val="en-US"/>
        </w:rPr>
        <w:t>.</w:t>
      </w:r>
      <w:r>
        <w:rPr>
          <w:rFonts w:ascii="Arial" w:hAnsi="Arial" w:cs="Arial"/>
          <w:b/>
          <w:bCs/>
          <w:lang w:val="en-US"/>
        </w:rPr>
        <w:tab/>
      </w:r>
      <w:r w:rsidR="008254DC">
        <w:rPr>
          <w:rFonts w:ascii="Arial" w:hAnsi="Arial" w:cs="Arial"/>
          <w:lang w:val="en-US"/>
        </w:rPr>
        <w:t xml:space="preserve">When using potassium </w:t>
      </w:r>
      <w:proofErr w:type="spellStart"/>
      <w:r w:rsidR="008254DC">
        <w:rPr>
          <w:rFonts w:ascii="Arial" w:hAnsi="Arial" w:cs="Arial"/>
          <w:lang w:val="en-US"/>
        </w:rPr>
        <w:t>manganate</w:t>
      </w:r>
      <w:proofErr w:type="spellEnd"/>
      <w:r w:rsidR="008254DC">
        <w:rPr>
          <w:rFonts w:ascii="Arial" w:hAnsi="Arial" w:cs="Arial"/>
          <w:lang w:val="en-US"/>
        </w:rPr>
        <w:t>(VII) in redox titrations with iron(II) ions it is essential that the reaction mixture is acidified. Normally, dilute sulfuric acid is used.</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why an excess of hydrogen ions is added to the reaction mixture.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State why the acid used must </w:t>
      </w:r>
      <w:r>
        <w:rPr>
          <w:rFonts w:ascii="Arial" w:hAnsi="Arial" w:cs="Arial"/>
          <w:b/>
          <w:bCs/>
          <w:lang w:val="en-US"/>
        </w:rPr>
        <w:t>not</w:t>
      </w:r>
      <w:r>
        <w:rPr>
          <w:rFonts w:ascii="Arial" w:hAnsi="Arial" w:cs="Arial"/>
          <w:lang w:val="en-US"/>
        </w:rPr>
        <w:t xml:space="preserve"> be ethanoic acid.</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Explain why an indicator is </w:t>
      </w:r>
      <w:r>
        <w:rPr>
          <w:rFonts w:ascii="Arial" w:hAnsi="Arial" w:cs="Arial"/>
          <w:b/>
          <w:bCs/>
          <w:lang w:val="en-US"/>
        </w:rPr>
        <w:t>not</w:t>
      </w:r>
      <w:r>
        <w:rPr>
          <w:rFonts w:ascii="Arial" w:hAnsi="Arial" w:cs="Arial"/>
          <w:lang w:val="en-US"/>
        </w:rPr>
        <w:t xml:space="preserve"> needed in this redox titration.</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p>
    <w:tbl>
      <w:tblPr>
        <w:tblStyle w:val="TableGrid"/>
        <w:tblW w:w="0" w:type="auto"/>
        <w:tblLook w:val="04A0" w:firstRow="1" w:lastRow="0" w:firstColumn="1" w:lastColumn="0" w:noHBand="0" w:noVBand="1"/>
      </w:tblPr>
      <w:tblGrid>
        <w:gridCol w:w="522"/>
        <w:gridCol w:w="10268"/>
      </w:tblGrid>
      <w:tr w:rsidR="000E1EDE" w:rsidTr="003A2EE8">
        <w:tc>
          <w:tcPr>
            <w:tcW w:w="522" w:type="dxa"/>
            <w:tcBorders>
              <w:top w:val="nil"/>
              <w:left w:val="nil"/>
              <w:bottom w:val="nil"/>
              <w:right w:val="nil"/>
            </w:tcBorders>
          </w:tcPr>
          <w:p w:rsidR="000E1EDE" w:rsidRDefault="000E1EDE">
            <w:pPr>
              <w:rPr>
                <w:rFonts w:ascii="Arial" w:hAnsi="Arial" w:cs="Arial"/>
                <w:b/>
                <w:bCs/>
                <w:lang w:val="en-US"/>
              </w:rPr>
            </w:pPr>
            <w:r>
              <w:rPr>
                <w:rFonts w:ascii="Arial" w:hAnsi="Arial" w:cs="Arial"/>
                <w:b/>
                <w:bCs/>
                <w:lang w:val="en-US"/>
              </w:rPr>
              <w:t>10.</w:t>
            </w:r>
          </w:p>
        </w:tc>
        <w:tc>
          <w:tcPr>
            <w:tcW w:w="10268" w:type="dxa"/>
            <w:tcBorders>
              <w:top w:val="nil"/>
              <w:left w:val="nil"/>
              <w:bottom w:val="nil"/>
              <w:right w:val="nil"/>
            </w:tcBorders>
          </w:tcPr>
          <w:p w:rsidR="000E1EDE" w:rsidRPr="000E1EDE" w:rsidRDefault="000E1EDE">
            <w:pPr>
              <w:rPr>
                <w:rFonts w:ascii="Arial" w:hAnsi="Arial" w:cs="Arial"/>
                <w:bCs/>
                <w:lang w:val="en-US"/>
              </w:rPr>
            </w:pPr>
            <w:r>
              <w:object w:dxaOrig="81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05pt;height:30pt" o:ole="">
                  <v:imagedata r:id="rId13" o:title=""/>
                </v:shape>
                <o:OLEObject Type="Embed" ProgID="PBrush" ShapeID="_x0000_i1081" DrawAspect="Content" ObjectID="_1550064903" r:id="rId14"/>
              </w:object>
            </w:r>
          </w:p>
        </w:tc>
      </w:tr>
      <w:tr w:rsidR="000E1EDE" w:rsidTr="003A2EE8">
        <w:tc>
          <w:tcPr>
            <w:tcW w:w="522" w:type="dxa"/>
            <w:tcBorders>
              <w:top w:val="nil"/>
              <w:left w:val="nil"/>
              <w:bottom w:val="nil"/>
              <w:right w:val="nil"/>
            </w:tcBorders>
          </w:tcPr>
          <w:p w:rsidR="000E1EDE" w:rsidRDefault="000E1EDE">
            <w:pPr>
              <w:rPr>
                <w:rFonts w:ascii="Arial" w:hAnsi="Arial" w:cs="Arial"/>
                <w:b/>
                <w:bCs/>
                <w:lang w:val="en-US"/>
              </w:rPr>
            </w:pPr>
          </w:p>
        </w:tc>
        <w:tc>
          <w:tcPr>
            <w:tcW w:w="10268" w:type="dxa"/>
            <w:tcBorders>
              <w:top w:val="nil"/>
              <w:left w:val="nil"/>
              <w:bottom w:val="nil"/>
              <w:right w:val="nil"/>
            </w:tcBorders>
          </w:tcPr>
          <w:p w:rsidR="000E1EDE" w:rsidRPr="000E1EDE" w:rsidRDefault="000E1EDE">
            <w:pPr>
              <w:rPr>
                <w:rFonts w:ascii="Arial" w:hAnsi="Arial" w:cs="Arial"/>
                <w:bCs/>
                <w:lang w:val="en-US"/>
              </w:rPr>
            </w:pPr>
            <w:r>
              <w:object w:dxaOrig="9540" w:dyaOrig="1800">
                <v:shape id="_x0000_i1083" type="#_x0000_t75" style="width:477pt;height:90pt" o:ole="">
                  <v:imagedata r:id="rId15" o:title=""/>
                </v:shape>
                <o:OLEObject Type="Embed" ProgID="PBrush" ShapeID="_x0000_i1083" DrawAspect="Content" ObjectID="_1550064904" r:id="rId16"/>
              </w:object>
            </w:r>
          </w:p>
        </w:tc>
      </w:tr>
      <w:tr w:rsidR="000E1EDE" w:rsidTr="003A2EE8">
        <w:tc>
          <w:tcPr>
            <w:tcW w:w="522" w:type="dxa"/>
            <w:tcBorders>
              <w:top w:val="nil"/>
              <w:left w:val="nil"/>
              <w:bottom w:val="nil"/>
              <w:right w:val="nil"/>
            </w:tcBorders>
          </w:tcPr>
          <w:p w:rsidR="000E1EDE" w:rsidRDefault="000E1EDE">
            <w:pPr>
              <w:rPr>
                <w:rFonts w:ascii="Arial" w:hAnsi="Arial" w:cs="Arial"/>
                <w:b/>
                <w:bCs/>
                <w:lang w:val="en-US"/>
              </w:rPr>
            </w:pPr>
          </w:p>
        </w:tc>
        <w:tc>
          <w:tcPr>
            <w:tcW w:w="10268" w:type="dxa"/>
            <w:tcBorders>
              <w:top w:val="nil"/>
              <w:left w:val="nil"/>
              <w:bottom w:val="nil"/>
              <w:right w:val="nil"/>
            </w:tcBorders>
          </w:tcPr>
          <w:p w:rsidR="000E1EDE" w:rsidRPr="000E1EDE" w:rsidRDefault="000E1EDE">
            <w:pPr>
              <w:rPr>
                <w:rFonts w:ascii="Arial" w:hAnsi="Arial" w:cs="Arial"/>
                <w:bCs/>
                <w:lang w:val="en-US"/>
              </w:rPr>
            </w:pPr>
            <w:r>
              <w:object w:dxaOrig="9495" w:dyaOrig="1725">
                <v:shape id="_x0000_i1085" type="#_x0000_t75" style="width:474.75pt;height:86.25pt" o:ole="">
                  <v:imagedata r:id="rId17" o:title=""/>
                </v:shape>
                <o:OLEObject Type="Embed" ProgID="PBrush" ShapeID="_x0000_i1085" DrawAspect="Content" ObjectID="_1550064905" r:id="rId18"/>
              </w:object>
            </w:r>
          </w:p>
        </w:tc>
      </w:tr>
      <w:tr w:rsidR="000E1EDE" w:rsidTr="003A2EE8">
        <w:tc>
          <w:tcPr>
            <w:tcW w:w="522" w:type="dxa"/>
            <w:tcBorders>
              <w:top w:val="nil"/>
              <w:left w:val="nil"/>
              <w:bottom w:val="nil"/>
              <w:right w:val="nil"/>
            </w:tcBorders>
          </w:tcPr>
          <w:p w:rsidR="000E1EDE" w:rsidRDefault="000E1EDE">
            <w:pPr>
              <w:rPr>
                <w:rFonts w:ascii="Arial" w:hAnsi="Arial" w:cs="Arial"/>
                <w:b/>
                <w:bCs/>
                <w:lang w:val="en-US"/>
              </w:rPr>
            </w:pPr>
          </w:p>
        </w:tc>
        <w:tc>
          <w:tcPr>
            <w:tcW w:w="10268" w:type="dxa"/>
            <w:tcBorders>
              <w:top w:val="nil"/>
              <w:left w:val="nil"/>
              <w:bottom w:val="nil"/>
              <w:right w:val="nil"/>
            </w:tcBorders>
          </w:tcPr>
          <w:p w:rsidR="000E1EDE" w:rsidRPr="000E1EDE" w:rsidRDefault="000E1EDE">
            <w:pPr>
              <w:rPr>
                <w:rFonts w:ascii="Arial" w:hAnsi="Arial" w:cs="Arial"/>
                <w:bCs/>
                <w:lang w:val="en-US"/>
              </w:rPr>
            </w:pPr>
            <w:r>
              <w:object w:dxaOrig="9495" w:dyaOrig="2235">
                <v:shape id="_x0000_i1087" type="#_x0000_t75" style="width:474.75pt;height:111.75pt" o:ole="">
                  <v:imagedata r:id="rId19" o:title=""/>
                </v:shape>
                <o:OLEObject Type="Embed" ProgID="PBrush" ShapeID="_x0000_i1087" DrawAspect="Content" ObjectID="_1550064906" r:id="rId20"/>
              </w:object>
            </w:r>
          </w:p>
        </w:tc>
      </w:tr>
      <w:tr w:rsidR="000E1EDE" w:rsidTr="003A2EE8">
        <w:tc>
          <w:tcPr>
            <w:tcW w:w="522" w:type="dxa"/>
            <w:tcBorders>
              <w:top w:val="nil"/>
              <w:left w:val="nil"/>
              <w:bottom w:val="nil"/>
              <w:right w:val="nil"/>
            </w:tcBorders>
          </w:tcPr>
          <w:p w:rsidR="000E1EDE" w:rsidRDefault="000E1EDE">
            <w:pPr>
              <w:rPr>
                <w:rFonts w:ascii="Arial" w:hAnsi="Arial" w:cs="Arial"/>
                <w:b/>
                <w:bCs/>
                <w:lang w:val="en-US"/>
              </w:rPr>
            </w:pPr>
          </w:p>
        </w:tc>
        <w:tc>
          <w:tcPr>
            <w:tcW w:w="10268" w:type="dxa"/>
            <w:tcBorders>
              <w:top w:val="nil"/>
              <w:left w:val="nil"/>
              <w:bottom w:val="nil"/>
              <w:right w:val="nil"/>
            </w:tcBorders>
          </w:tcPr>
          <w:p w:rsidR="000E1EDE" w:rsidRDefault="000E1EDE">
            <w:r>
              <w:object w:dxaOrig="9525" w:dyaOrig="1995">
                <v:shape id="_x0000_i1089" type="#_x0000_t75" style="width:476.25pt;height:99.75pt" o:ole="">
                  <v:imagedata r:id="rId21" o:title=""/>
                </v:shape>
                <o:OLEObject Type="Embed" ProgID="PBrush" ShapeID="_x0000_i1089" DrawAspect="Content" ObjectID="_1550064907" r:id="rId22"/>
              </w:object>
            </w:r>
          </w:p>
          <w:p w:rsidR="003A2EE8" w:rsidRPr="003A2EE8" w:rsidRDefault="003A2EE8" w:rsidP="003A2EE8">
            <w:pPr>
              <w:jc w:val="right"/>
              <w:rPr>
                <w:rFonts w:ascii="Arial" w:hAnsi="Arial" w:cs="Arial"/>
                <w:b/>
                <w:bCs/>
                <w:lang w:val="en-US"/>
              </w:rPr>
            </w:pPr>
            <w:r>
              <w:rPr>
                <w:b/>
              </w:rPr>
              <w:t>(Total 4 marks)</w:t>
            </w:r>
          </w:p>
        </w:tc>
      </w:tr>
    </w:tbl>
    <w:p w:rsidR="000E1EDE" w:rsidRDefault="000E1EDE">
      <w:pPr>
        <w:rPr>
          <w:rFonts w:ascii="Arial" w:hAnsi="Arial" w:cs="Arial"/>
          <w:b/>
          <w:bCs/>
          <w:lang w:val="en-US"/>
        </w:rPr>
      </w:pPr>
    </w:p>
    <w:p w:rsidR="008254DC" w:rsidRDefault="000E1EDE" w:rsidP="008254D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sidR="008254DC">
        <w:rPr>
          <w:rFonts w:ascii="Arial" w:hAnsi="Arial" w:cs="Arial"/>
          <w:b/>
          <w:bCs/>
          <w:lang w:val="en-US"/>
        </w:rPr>
        <w:t>.</w:t>
      </w:r>
      <w:r>
        <w:rPr>
          <w:rFonts w:ascii="Arial" w:hAnsi="Arial" w:cs="Arial"/>
          <w:b/>
          <w:bCs/>
          <w:lang w:val="en-US"/>
        </w:rPr>
        <w:tab/>
      </w:r>
      <w:r w:rsidR="008254DC">
        <w:rPr>
          <w:rFonts w:ascii="Arial" w:hAnsi="Arial" w:cs="Arial"/>
          <w:lang w:val="en-US"/>
        </w:rPr>
        <w:t>A biocide is a chemical that kills bacteria. A biocide is added to prevent the growth of bacteria in the water used in vases of flowers. Household bleach contains aqueous chlorine and can be used as the biocide. The concentration of chlorine in vase water decreases with time. It was decided to investigate the rate of this decrease.</w:t>
      </w:r>
    </w:p>
    <w:p w:rsidR="008254DC" w:rsidRDefault="008254DC" w:rsidP="008254D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following experimental method was used to determine the concentration of chlorine in vase water at different times.</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 sample of vase water was taken.</w:t>
      </w:r>
    </w:p>
    <w:p w:rsidR="008254DC" w:rsidRDefault="008254DC" w:rsidP="008254D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An excess of potassium iodide solution was added to the sample.</w:t>
      </w:r>
    </w:p>
    <w:p w:rsidR="008254DC" w:rsidRDefault="008254DC" w:rsidP="008254DC">
      <w:pPr>
        <w:widowControl w:val="0"/>
        <w:autoSpaceDE w:val="0"/>
        <w:autoSpaceDN w:val="0"/>
        <w:adjustRightInd w:val="0"/>
        <w:spacing w:after="0" w:line="240" w:lineRule="auto"/>
        <w:ind w:left="1134" w:right="567" w:hanging="567"/>
        <w:rPr>
          <w:rFonts w:ascii="Arial" w:hAnsi="Arial" w:cs="Arial"/>
          <w:sz w:val="20"/>
          <w:szCs w:val="20"/>
          <w:vertAlign w:val="subscript"/>
          <w:lang w:val="en-US"/>
        </w:rPr>
      </w:pPr>
      <w:r>
        <w:rPr>
          <w:rFonts w:ascii="Arial" w:hAnsi="Arial" w:cs="Arial"/>
          <w:lang w:val="en-US"/>
        </w:rPr>
        <w:t xml:space="preserve">•        The chlorine in the sample </w:t>
      </w:r>
      <w:proofErr w:type="spellStart"/>
      <w:r>
        <w:rPr>
          <w:rFonts w:ascii="Arial" w:hAnsi="Arial" w:cs="Arial"/>
          <w:lang w:val="en-US"/>
        </w:rPr>
        <w:t>oxidised</w:t>
      </w:r>
      <w:proofErr w:type="spellEnd"/>
      <w:r>
        <w:rPr>
          <w:rFonts w:ascii="Arial" w:hAnsi="Arial" w:cs="Arial"/>
          <w:lang w:val="en-US"/>
        </w:rPr>
        <w:t xml:space="preserve"> the I</w:t>
      </w:r>
      <w:r>
        <w:rPr>
          <w:rFonts w:ascii="Arial" w:hAnsi="Arial" w:cs="Arial"/>
          <w:sz w:val="20"/>
          <w:szCs w:val="20"/>
          <w:vertAlign w:val="superscript"/>
          <w:lang w:val="en-US"/>
        </w:rPr>
        <w:t>−</w:t>
      </w:r>
      <w:r>
        <w:rPr>
          <w:rFonts w:ascii="Arial" w:hAnsi="Arial" w:cs="Arial"/>
          <w:lang w:val="en-US"/>
        </w:rPr>
        <w:t xml:space="preserve"> ions to I</w:t>
      </w:r>
      <w:r>
        <w:rPr>
          <w:rFonts w:ascii="Arial" w:hAnsi="Arial" w:cs="Arial"/>
          <w:sz w:val="20"/>
          <w:szCs w:val="20"/>
          <w:vertAlign w:val="subscript"/>
          <w:lang w:val="en-US"/>
        </w:rPr>
        <w:t>2</w:t>
      </w:r>
    </w:p>
    <w:p w:rsidR="008254DC" w:rsidRDefault="008254DC" w:rsidP="008254D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The iodine was titrated with sodium thiosulfate (Na</w:t>
      </w:r>
      <w:r>
        <w:rPr>
          <w:rFonts w:ascii="Arial" w:hAnsi="Arial" w:cs="Arial"/>
          <w:sz w:val="20"/>
          <w:szCs w:val="20"/>
          <w:vertAlign w:val="subscript"/>
          <w:lang w:val="en-US"/>
        </w:rPr>
        <w:t>2</w:t>
      </w:r>
      <w:r>
        <w:rPr>
          <w:rFonts w:ascii="Arial" w:hAnsi="Arial" w:cs="Arial"/>
          <w:lang w:val="en-US"/>
        </w:rPr>
        <w:t>S</w:t>
      </w:r>
      <w:r>
        <w:rPr>
          <w:rFonts w:ascii="Arial" w:hAnsi="Arial" w:cs="Arial"/>
          <w:sz w:val="20"/>
          <w:szCs w:val="20"/>
          <w:vertAlign w:val="subscript"/>
          <w:lang w:val="en-US"/>
        </w:rPr>
        <w:t>2</w:t>
      </w:r>
      <w:r>
        <w:rPr>
          <w:rFonts w:ascii="Arial" w:hAnsi="Arial" w:cs="Arial"/>
          <w:lang w:val="en-US"/>
        </w:rPr>
        <w:t>O</w:t>
      </w:r>
      <w:r>
        <w:rPr>
          <w:rFonts w:ascii="Arial" w:hAnsi="Arial" w:cs="Arial"/>
          <w:sz w:val="20"/>
          <w:szCs w:val="20"/>
          <w:vertAlign w:val="subscript"/>
          <w:lang w:val="en-US"/>
        </w:rPr>
        <w:t>3</w:t>
      </w:r>
      <w:r>
        <w:rPr>
          <w:rFonts w:ascii="Arial" w:hAnsi="Arial" w:cs="Arial"/>
          <w:lang w:val="en-US"/>
        </w:rPr>
        <w:t>) solution.</w:t>
      </w:r>
    </w:p>
    <w:p w:rsidR="008254DC" w:rsidRDefault="008254DC" w:rsidP="008254D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These steps were repeated using further samples taken from the vase water at hourly intervals.</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Suggest </w:t>
      </w:r>
      <w:r>
        <w:rPr>
          <w:rFonts w:ascii="Arial" w:hAnsi="Arial" w:cs="Arial"/>
          <w:b/>
          <w:bCs/>
          <w:lang w:val="en-US"/>
        </w:rPr>
        <w:t>two</w:t>
      </w:r>
      <w:r>
        <w:rPr>
          <w:rFonts w:ascii="Arial" w:hAnsi="Arial" w:cs="Arial"/>
          <w:lang w:val="en-US"/>
        </w:rPr>
        <w:t xml:space="preserve"> reasons why the concentration of chlorine in the vase water decreases with time.</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1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Reason 2 ........................................................................................................</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3A2EE8" w:rsidRDefault="003A2EE8">
      <w:pPr>
        <w:rPr>
          <w:rFonts w:ascii="Arial" w:hAnsi="Arial" w:cs="Arial"/>
          <w:lang w:val="en-US"/>
        </w:rPr>
      </w:pPr>
      <w:r>
        <w:rPr>
          <w:rFonts w:ascii="Arial" w:hAnsi="Arial" w:cs="Arial"/>
          <w:lang w:val="en-US"/>
        </w:rPr>
        <w:br w:type="page"/>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Suggest why this sampling technique has no effect on the rate at which the concentration of chlorine in the vase water decreases.</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Why was it important to use an </w:t>
      </w:r>
      <w:r>
        <w:rPr>
          <w:rFonts w:ascii="Arial" w:hAnsi="Arial" w:cs="Arial"/>
          <w:b/>
          <w:bCs/>
          <w:lang w:val="en-US"/>
        </w:rPr>
        <w:t>excess</w:t>
      </w:r>
      <w:r>
        <w:rPr>
          <w:rFonts w:ascii="Arial" w:hAnsi="Arial" w:cs="Arial"/>
          <w:lang w:val="en-US"/>
        </w:rPr>
        <w:t xml:space="preserve"> of potassium iodide solution?</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Use the following standard electrode potential data to explain why I</w:t>
      </w:r>
      <w:r>
        <w:rPr>
          <w:rFonts w:ascii="Arial" w:hAnsi="Arial" w:cs="Arial"/>
          <w:sz w:val="20"/>
          <w:szCs w:val="20"/>
          <w:vertAlign w:val="subscript"/>
          <w:lang w:val="en-US"/>
        </w:rPr>
        <w:t>2</w:t>
      </w:r>
      <w:r>
        <w:rPr>
          <w:rFonts w:ascii="Arial" w:hAnsi="Arial" w:cs="Arial"/>
          <w:lang w:val="en-US"/>
        </w:rPr>
        <w:t xml:space="preserve"> </w:t>
      </w:r>
      <w:proofErr w:type="spellStart"/>
      <w:r>
        <w:rPr>
          <w:rFonts w:ascii="Arial" w:hAnsi="Arial" w:cs="Arial"/>
          <w:lang w:val="en-US"/>
        </w:rPr>
        <w:t>oxidises</w:t>
      </w:r>
      <w:proofErr w:type="spellEnd"/>
      <w:r>
        <w:rPr>
          <w:rFonts w:ascii="Arial" w:hAnsi="Arial" w:cs="Arial"/>
          <w:lang w:val="en-US"/>
        </w:rPr>
        <w:t xml:space="preserve"> S</w:t>
      </w:r>
      <w:r>
        <w:rPr>
          <w:rFonts w:ascii="Arial" w:hAnsi="Arial" w:cs="Arial"/>
          <w:sz w:val="20"/>
          <w:szCs w:val="20"/>
          <w:vertAlign w:val="subscript"/>
          <w:lang w:val="en-US"/>
        </w:rPr>
        <w:t>2</w:t>
      </w:r>
      <w:r>
        <w:rPr>
          <w:rFonts w:ascii="Arial" w:hAnsi="Arial" w:cs="Arial"/>
          <w:lang w:val="en-US"/>
        </w:rPr>
        <w:t>O</w:t>
      </w:r>
      <w:r>
        <w:rPr>
          <w:rFonts w:ascii="Arial" w:hAnsi="Arial" w:cs="Arial"/>
          <w:sz w:val="20"/>
          <w:szCs w:val="20"/>
          <w:vertAlign w:val="subscript"/>
          <w:lang w:val="en-US"/>
        </w:rPr>
        <w:t>3</w:t>
      </w:r>
      <w:r>
        <w:rPr>
          <w:rFonts w:ascii="Arial" w:hAnsi="Arial" w:cs="Arial"/>
          <w:sz w:val="20"/>
          <w:szCs w:val="20"/>
          <w:vertAlign w:val="superscript"/>
          <w:lang w:val="en-US"/>
        </w:rPr>
        <w:t>2−</w:t>
      </w:r>
      <w:r>
        <w:rPr>
          <w:rFonts w:ascii="Arial" w:hAnsi="Arial" w:cs="Arial"/>
          <w:lang w:val="en-US"/>
        </w:rPr>
        <w:t xml:space="preserve"> under standard conditions.</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200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Arial" w:hAnsi="Arial" w:cs="Arial"/>
          <w:lang w:val="en-US"/>
        </w:rPr>
        <w:t xml:space="preserve"> + e</w:t>
      </w:r>
      <w:r>
        <w:rPr>
          <w:rFonts w:ascii="Arial" w:hAnsi="Arial" w:cs="Arial"/>
          <w:sz w:val="20"/>
          <w:szCs w:val="20"/>
          <w:vertAlign w:val="superscript"/>
          <w:lang w:val="en-US"/>
        </w:rPr>
        <w:t>−</w:t>
      </w:r>
      <w:r>
        <w:rPr>
          <w:rFonts w:ascii="Arial" w:hAnsi="Arial" w:cs="Arial"/>
          <w:lang w:val="en-US"/>
        </w:rPr>
        <w:t xml:space="preserve">  </w:t>
      </w:r>
      <w:r>
        <w:rPr>
          <w:rFonts w:ascii="Arial" w:hAnsi="Arial" w:cs="Arial"/>
          <w:noProof/>
          <w:lang w:eastAsia="en-GB"/>
        </w:rPr>
        <w:drawing>
          <wp:inline distT="0" distB="0" distL="0" distR="0">
            <wp:extent cx="3714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85725"/>
                    </a:xfrm>
                    <a:prstGeom prst="rect">
                      <a:avLst/>
                    </a:prstGeom>
                    <a:noFill/>
                    <a:ln>
                      <a:noFill/>
                    </a:ln>
                  </pic:spPr>
                </pic:pic>
              </a:graphicData>
            </a:graphic>
          </wp:inline>
        </w:drawing>
      </w:r>
      <w:r>
        <w:rPr>
          <w:rFonts w:ascii="Arial" w:hAnsi="Arial" w:cs="Arial"/>
          <w:lang w:val="en-US"/>
        </w:rPr>
        <w:t>  I</w:t>
      </w:r>
      <w:r>
        <w:rPr>
          <w:rFonts w:ascii="Arial" w:hAnsi="Arial" w:cs="Arial"/>
          <w:sz w:val="20"/>
          <w:szCs w:val="20"/>
          <w:vertAlign w:val="superscript"/>
          <w:lang w:val="en-US"/>
        </w:rPr>
        <w:t>−</w:t>
      </w:r>
      <w:r>
        <w:rPr>
          <w:rFonts w:ascii="Arial" w:hAnsi="Arial" w:cs="Arial"/>
          <w:lang w:val="en-US"/>
        </w:rPr>
        <w:t>                        </w:t>
      </w:r>
      <w:r>
        <w:rPr>
          <w:rFonts w:ascii="Arial" w:hAnsi="Arial" w:cs="Arial"/>
          <w:noProof/>
          <w:lang w:eastAsia="en-GB"/>
        </w:rPr>
        <w:drawing>
          <wp:inline distT="0" distB="0" distL="0" distR="0">
            <wp:extent cx="2190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ascii="Arial" w:hAnsi="Arial" w:cs="Arial"/>
          <w:lang w:val="en-US"/>
        </w:rPr>
        <w:t xml:space="preserve"> = +0.54 V</w:t>
      </w:r>
    </w:p>
    <w:p w:rsidR="008254DC" w:rsidRDefault="008254DC" w:rsidP="008254D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5334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rFonts w:ascii="Arial" w:hAnsi="Arial" w:cs="Arial"/>
          <w:lang w:val="en-US"/>
        </w:rPr>
        <w:t xml:space="preserve"> + e</w:t>
      </w:r>
      <w:r>
        <w:rPr>
          <w:rFonts w:ascii="Arial" w:hAnsi="Arial" w:cs="Arial"/>
          <w:sz w:val="20"/>
          <w:szCs w:val="20"/>
          <w:vertAlign w:val="superscript"/>
          <w:lang w:val="en-US"/>
        </w:rPr>
        <w:t>−</w:t>
      </w:r>
      <w:r>
        <w:rPr>
          <w:rFonts w:ascii="Arial" w:hAnsi="Arial" w:cs="Arial"/>
          <w:lang w:val="en-US"/>
        </w:rPr>
        <w:t xml:space="preserve">  </w:t>
      </w:r>
      <w:r>
        <w:rPr>
          <w:rFonts w:ascii="Arial" w:hAnsi="Arial" w:cs="Arial"/>
          <w:noProof/>
          <w:lang w:eastAsia="en-GB"/>
        </w:rPr>
        <w:drawing>
          <wp:inline distT="0" distB="0" distL="0" distR="0">
            <wp:extent cx="3714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85725"/>
                    </a:xfrm>
                    <a:prstGeom prst="rect">
                      <a:avLst/>
                    </a:prstGeom>
                    <a:noFill/>
                    <a:ln>
                      <a:noFill/>
                    </a:ln>
                  </pic:spPr>
                </pic:pic>
              </a:graphicData>
            </a:graphic>
          </wp:inline>
        </w:drawing>
      </w:r>
      <w:r>
        <w:rPr>
          <w:rFonts w:ascii="Arial" w:hAnsi="Arial" w:cs="Arial"/>
          <w:lang w:val="en-US"/>
        </w:rPr>
        <w:t>  S</w:t>
      </w:r>
      <w:r>
        <w:rPr>
          <w:rFonts w:ascii="Arial" w:hAnsi="Arial" w:cs="Arial"/>
          <w:sz w:val="20"/>
          <w:szCs w:val="20"/>
          <w:vertAlign w:val="subscript"/>
          <w:lang w:val="en-US"/>
        </w:rPr>
        <w:t>2</w:t>
      </w:r>
      <w:r>
        <w:rPr>
          <w:rFonts w:ascii="Arial" w:hAnsi="Arial" w:cs="Arial"/>
          <w:lang w:val="en-US"/>
        </w:rPr>
        <w:t>O</w:t>
      </w:r>
      <w:r>
        <w:rPr>
          <w:rFonts w:ascii="Arial" w:hAnsi="Arial" w:cs="Arial"/>
          <w:sz w:val="20"/>
          <w:szCs w:val="20"/>
          <w:vertAlign w:val="subscript"/>
          <w:lang w:val="en-US"/>
        </w:rPr>
        <w:t>3</w:t>
      </w:r>
      <w:r>
        <w:rPr>
          <w:rFonts w:ascii="Arial" w:hAnsi="Arial" w:cs="Arial"/>
          <w:sz w:val="20"/>
          <w:szCs w:val="20"/>
          <w:vertAlign w:val="superscript"/>
          <w:lang w:val="en-US"/>
        </w:rPr>
        <w:t>2−</w:t>
      </w:r>
      <w:r>
        <w:rPr>
          <w:rFonts w:ascii="Arial" w:hAnsi="Arial" w:cs="Arial"/>
          <w:lang w:val="en-US"/>
        </w:rPr>
        <w:t>               </w:t>
      </w:r>
      <w:r>
        <w:rPr>
          <w:rFonts w:ascii="Arial" w:hAnsi="Arial" w:cs="Arial"/>
          <w:noProof/>
          <w:lang w:eastAsia="en-GB"/>
        </w:rPr>
        <w:drawing>
          <wp:inline distT="0" distB="0" distL="0" distR="0">
            <wp:extent cx="2190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ascii="Arial" w:hAnsi="Arial" w:cs="Arial"/>
          <w:lang w:val="en-US"/>
        </w:rPr>
        <w:t xml:space="preserve"> = +0.09 V</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0E1EDE"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8254DC">
        <w:rPr>
          <w:rFonts w:ascii="Arial" w:hAnsi="Arial" w:cs="Arial"/>
          <w:b/>
          <w:bCs/>
          <w:sz w:val="20"/>
          <w:szCs w:val="20"/>
          <w:lang w:val="en-US"/>
        </w:rPr>
        <w:t>(1)</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p>
    <w:p w:rsidR="008254DC" w:rsidRDefault="008254DC" w:rsidP="008254DC">
      <w:pPr>
        <w:widowControl w:val="0"/>
        <w:autoSpaceDE w:val="0"/>
        <w:autoSpaceDN w:val="0"/>
        <w:adjustRightInd w:val="0"/>
        <w:spacing w:before="240" w:after="0" w:line="240" w:lineRule="auto"/>
        <w:ind w:left="1134" w:right="567" w:hanging="567"/>
        <w:rPr>
          <w:rFonts w:ascii="Arial" w:hAnsi="Arial" w:cs="Arial"/>
          <w:sz w:val="20"/>
          <w:szCs w:val="20"/>
          <w:vertAlign w:val="superscript"/>
          <w:lang w:val="en-US"/>
        </w:rPr>
      </w:pPr>
      <w:r>
        <w:rPr>
          <w:rFonts w:ascii="Arial" w:hAnsi="Arial" w:cs="Arial"/>
          <w:lang w:val="en-US"/>
        </w:rPr>
        <w:t>(e)     Deduce an ionic equation for the reaction between I</w:t>
      </w:r>
      <w:r>
        <w:rPr>
          <w:rFonts w:ascii="Arial" w:hAnsi="Arial" w:cs="Arial"/>
          <w:sz w:val="20"/>
          <w:szCs w:val="20"/>
          <w:vertAlign w:val="subscript"/>
          <w:lang w:val="en-US"/>
        </w:rPr>
        <w:t>2</w:t>
      </w:r>
      <w:r>
        <w:rPr>
          <w:rFonts w:ascii="Arial" w:hAnsi="Arial" w:cs="Arial"/>
          <w:lang w:val="en-US"/>
        </w:rPr>
        <w:t xml:space="preserve"> and S</w:t>
      </w:r>
      <w:r>
        <w:rPr>
          <w:rFonts w:ascii="Arial" w:hAnsi="Arial" w:cs="Arial"/>
          <w:sz w:val="20"/>
          <w:szCs w:val="20"/>
          <w:vertAlign w:val="subscript"/>
          <w:lang w:val="en-US"/>
        </w:rPr>
        <w:t>2</w:t>
      </w:r>
      <w:r>
        <w:rPr>
          <w:rFonts w:ascii="Arial" w:hAnsi="Arial" w:cs="Arial"/>
          <w:lang w:val="en-US"/>
        </w:rPr>
        <w:t>O</w:t>
      </w:r>
      <w:r>
        <w:rPr>
          <w:rFonts w:ascii="Arial" w:hAnsi="Arial" w:cs="Arial"/>
          <w:sz w:val="20"/>
          <w:szCs w:val="20"/>
          <w:vertAlign w:val="subscript"/>
          <w:lang w:val="en-US"/>
        </w:rPr>
        <w:t>3</w:t>
      </w:r>
      <w:r>
        <w:rPr>
          <w:rFonts w:ascii="Arial" w:hAnsi="Arial" w:cs="Arial"/>
          <w:sz w:val="20"/>
          <w:szCs w:val="20"/>
          <w:vertAlign w:val="superscript"/>
          <w:lang w:val="en-US"/>
        </w:rPr>
        <w:t>2−</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bookmarkStart w:id="0" w:name="_GoBack"/>
      <w:bookmarkEnd w:id="0"/>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8254DC" w:rsidRDefault="008254DC" w:rsidP="008254D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8254DC" w:rsidRDefault="008254DC" w:rsidP="008254DC"/>
    <w:p w:rsidR="000E1EDE" w:rsidRDefault="000E1EDE">
      <w:r>
        <w:br w:type="page"/>
      </w:r>
    </w:p>
    <w:tbl>
      <w:tblPr>
        <w:tblStyle w:val="TableGrid"/>
        <w:tblW w:w="0" w:type="auto"/>
        <w:tblLook w:val="04A0" w:firstRow="1" w:lastRow="0" w:firstColumn="1" w:lastColumn="0" w:noHBand="0" w:noVBand="1"/>
      </w:tblPr>
      <w:tblGrid>
        <w:gridCol w:w="498"/>
        <w:gridCol w:w="384"/>
        <w:gridCol w:w="9918"/>
      </w:tblGrid>
      <w:tr w:rsidR="005E12C8" w:rsidTr="003A2EE8">
        <w:tc>
          <w:tcPr>
            <w:tcW w:w="498" w:type="dxa"/>
            <w:tcBorders>
              <w:top w:val="nil"/>
              <w:left w:val="nil"/>
              <w:bottom w:val="nil"/>
              <w:right w:val="nil"/>
            </w:tcBorders>
          </w:tcPr>
          <w:p w:rsidR="005E12C8" w:rsidRPr="000E1EDE" w:rsidRDefault="000E1EDE">
            <w:pPr>
              <w:rPr>
                <w:b/>
              </w:rPr>
            </w:pPr>
            <w:r w:rsidRPr="000E1EDE">
              <w:rPr>
                <w:b/>
              </w:rPr>
              <w:lastRenderedPageBreak/>
              <w:t>12.</w:t>
            </w:r>
          </w:p>
        </w:tc>
        <w:tc>
          <w:tcPr>
            <w:tcW w:w="10302" w:type="dxa"/>
            <w:gridSpan w:val="2"/>
            <w:tcBorders>
              <w:top w:val="nil"/>
              <w:left w:val="nil"/>
              <w:bottom w:val="nil"/>
              <w:right w:val="nil"/>
            </w:tcBorders>
          </w:tcPr>
          <w:p w:rsidR="005E12C8" w:rsidRDefault="005E12C8">
            <w:r>
              <w:object w:dxaOrig="9600" w:dyaOrig="2895">
                <v:shape id="_x0000_i1025" type="#_x0000_t75" style="width:480pt;height:144.75pt" o:ole="">
                  <v:imagedata r:id="rId27" o:title=""/>
                </v:shape>
                <o:OLEObject Type="Embed" ProgID="PBrush" ShapeID="_x0000_i1025" DrawAspect="Content" ObjectID="_1550064908" r:id="rId28"/>
              </w:object>
            </w:r>
          </w:p>
          <w:p w:rsidR="005E12C8" w:rsidRDefault="005E12C8"/>
          <w:p w:rsidR="005E12C8" w:rsidRDefault="005E12C8">
            <w:r>
              <w:object w:dxaOrig="8610" w:dyaOrig="4560">
                <v:shape id="_x0000_i1026" type="#_x0000_t75" style="width:430.5pt;height:228pt" o:ole="">
                  <v:imagedata r:id="rId29" o:title=""/>
                </v:shape>
                <o:OLEObject Type="Embed" ProgID="PBrush" ShapeID="_x0000_i1026" DrawAspect="Content" ObjectID="_1550064909" r:id="rId30"/>
              </w:object>
            </w:r>
          </w:p>
          <w:p w:rsidR="005E12C8" w:rsidRDefault="005E12C8"/>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90" w:dyaOrig="825">
                <v:shape id="_x0000_i1027" type="#_x0000_t75" style="width:454.5pt;height:41.25pt" o:ole="">
                  <v:imagedata r:id="rId31" o:title=""/>
                </v:shape>
                <o:OLEObject Type="Embed" ProgID="PBrush" ShapeID="_x0000_i1027" DrawAspect="Content" ObjectID="_1550064910" r:id="rId32"/>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10365" w:dyaOrig="8085">
                <v:shape id="_x0000_i1028" type="#_x0000_t75" style="width:480pt;height:375pt" o:ole="">
                  <v:imagedata r:id="rId33" o:title=""/>
                </v:shape>
                <o:OLEObject Type="Embed" ProgID="PBrush" ShapeID="_x0000_i1028" DrawAspect="Content" ObjectID="_1550064911" r:id="rId34"/>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75" w:dyaOrig="1965">
                <v:shape id="_x0000_i1029" type="#_x0000_t75" style="width:453.75pt;height:98.25pt" o:ole="">
                  <v:imagedata r:id="rId35" o:title=""/>
                </v:shape>
                <o:OLEObject Type="Embed" ProgID="PBrush" ShapeID="_x0000_i1029" DrawAspect="Content" ObjectID="_1550064912" r:id="rId36"/>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75" w:dyaOrig="2145">
                <v:shape id="_x0000_i1030" type="#_x0000_t75" style="width:453.75pt;height:107.25pt" o:ole="">
                  <v:imagedata r:id="rId37" o:title=""/>
                </v:shape>
                <o:OLEObject Type="Embed" ProgID="PBrush" ShapeID="_x0000_i1030" DrawAspect="Content" ObjectID="_1550064913" r:id="rId38"/>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75" w:dyaOrig="4800">
                <v:shape id="_x0000_i1031" type="#_x0000_t75" style="width:453.75pt;height:240pt" o:ole="">
                  <v:imagedata r:id="rId39" o:title=""/>
                </v:shape>
                <o:OLEObject Type="Embed" ProgID="PBrush" ShapeID="_x0000_i1031" DrawAspect="Content" ObjectID="_1550064914" r:id="rId40"/>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45" w:dyaOrig="6270">
                <v:shape id="_x0000_i1032" type="#_x0000_t75" style="width:452.25pt;height:313.5pt" o:ole="">
                  <v:imagedata r:id="rId41" o:title=""/>
                </v:shape>
                <o:OLEObject Type="Embed" ProgID="PBrush" ShapeID="_x0000_i1032" DrawAspect="Content" ObjectID="_1550064915" r:id="rId42"/>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30" w:dyaOrig="2655">
                <v:shape id="_x0000_i1033" type="#_x0000_t75" style="width:451.5pt;height:132.75pt" o:ole="">
                  <v:imagedata r:id="rId43" o:title=""/>
                </v:shape>
                <o:OLEObject Type="Embed" ProgID="PBrush" ShapeID="_x0000_i1033" DrawAspect="Content" ObjectID="_1550064916" r:id="rId44"/>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75" w:dyaOrig="2655">
                <v:shape id="_x0000_i1034" type="#_x0000_t75" style="width:453.75pt;height:132.75pt" o:ole="">
                  <v:imagedata r:id="rId45" o:title=""/>
                </v:shape>
                <o:OLEObject Type="Embed" ProgID="PBrush" ShapeID="_x0000_i1034" DrawAspect="Content" ObjectID="_1550064917" r:id="rId46"/>
              </w:object>
            </w:r>
          </w:p>
        </w:tc>
      </w:tr>
      <w:tr w:rsidR="005E12C8" w:rsidTr="003A2EE8">
        <w:tc>
          <w:tcPr>
            <w:tcW w:w="498" w:type="dxa"/>
            <w:tcBorders>
              <w:top w:val="nil"/>
              <w:left w:val="nil"/>
              <w:bottom w:val="nil"/>
              <w:right w:val="nil"/>
            </w:tcBorders>
          </w:tcPr>
          <w:p w:rsidR="005E12C8" w:rsidRDefault="005E12C8"/>
        </w:tc>
        <w:tc>
          <w:tcPr>
            <w:tcW w:w="384" w:type="dxa"/>
            <w:tcBorders>
              <w:top w:val="nil"/>
              <w:left w:val="nil"/>
              <w:bottom w:val="nil"/>
              <w:right w:val="nil"/>
            </w:tcBorders>
          </w:tcPr>
          <w:p w:rsidR="005E12C8" w:rsidRDefault="005E12C8"/>
        </w:tc>
        <w:tc>
          <w:tcPr>
            <w:tcW w:w="9918" w:type="dxa"/>
            <w:tcBorders>
              <w:top w:val="nil"/>
              <w:left w:val="nil"/>
              <w:bottom w:val="nil"/>
              <w:right w:val="nil"/>
            </w:tcBorders>
          </w:tcPr>
          <w:p w:rsidR="005E12C8" w:rsidRDefault="005E12C8">
            <w:r>
              <w:object w:dxaOrig="9075" w:dyaOrig="2700">
                <v:shape id="_x0000_i1035" type="#_x0000_t75" style="width:453.75pt;height:135pt" o:ole="">
                  <v:imagedata r:id="rId47" o:title=""/>
                </v:shape>
                <o:OLEObject Type="Embed" ProgID="PBrush" ShapeID="_x0000_i1035" DrawAspect="Content" ObjectID="_1550064918" r:id="rId48"/>
              </w:object>
            </w:r>
          </w:p>
          <w:p w:rsidR="005E12C8" w:rsidRPr="005E12C8" w:rsidRDefault="005E12C8" w:rsidP="005E12C8">
            <w:pPr>
              <w:jc w:val="right"/>
              <w:rPr>
                <w:b/>
              </w:rPr>
            </w:pPr>
            <w:r w:rsidRPr="005E12C8">
              <w:rPr>
                <w:b/>
              </w:rPr>
              <w:t>(Total 14 marks)</w:t>
            </w:r>
          </w:p>
        </w:tc>
      </w:tr>
    </w:tbl>
    <w:p w:rsidR="000F4475" w:rsidRDefault="003A2EE8"/>
    <w:sectPr w:rsidR="000F4475" w:rsidSect="005E12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C8"/>
    <w:rsid w:val="000E1EDE"/>
    <w:rsid w:val="003A2EE8"/>
    <w:rsid w:val="00426196"/>
    <w:rsid w:val="00594D4C"/>
    <w:rsid w:val="005C2E1C"/>
    <w:rsid w:val="005E12C8"/>
    <w:rsid w:val="0082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1A5"/>
  <w15:chartTrackingRefBased/>
  <w15:docId w15:val="{4FC48492-2709-47A7-BCD4-F201E1D4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8254DC"/>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paragraph" w:styleId="ListParagraph">
    <w:name w:val="List Paragraph"/>
    <w:basedOn w:val="Normal"/>
    <w:uiPriority w:val="34"/>
    <w:qFormat/>
    <w:rsid w:val="0082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oleObject" Target="embeddings/oleObject3.bin"/><Relationship Id="rId26" Type="http://schemas.openxmlformats.org/officeDocument/2006/relationships/image" Target="media/image18.png"/><Relationship Id="rId39" Type="http://schemas.openxmlformats.org/officeDocument/2006/relationships/image" Target="media/image25.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9.png"/><Relationship Id="rId50"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2.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20.png"/><Relationship Id="rId41"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6.png"/><Relationship Id="rId32" Type="http://schemas.openxmlformats.org/officeDocument/2006/relationships/oleObject" Target="embeddings/oleObject8.bin"/><Relationship Id="rId37" Type="http://schemas.openxmlformats.org/officeDocument/2006/relationships/image" Target="media/image24.png"/><Relationship Id="rId40" Type="http://schemas.openxmlformats.org/officeDocument/2006/relationships/oleObject" Target="embeddings/oleObject12.bin"/><Relationship Id="rId45" Type="http://schemas.openxmlformats.org/officeDocument/2006/relationships/image" Target="media/image28.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5.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3.png"/><Relationship Id="rId31" Type="http://schemas.openxmlformats.org/officeDocument/2006/relationships/image" Target="media/image21.png"/><Relationship Id="rId44" Type="http://schemas.openxmlformats.org/officeDocument/2006/relationships/oleObject" Target="embeddings/oleObject14.bin"/><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9.png"/><Relationship Id="rId30" Type="http://schemas.openxmlformats.org/officeDocument/2006/relationships/oleObject" Target="embeddings/oleObject7.bin"/><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oleObject" Target="embeddings/oleObject16.bin"/><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2</cp:revision>
  <dcterms:created xsi:type="dcterms:W3CDTF">2017-01-09T16:46:00Z</dcterms:created>
  <dcterms:modified xsi:type="dcterms:W3CDTF">2017-03-03T16:48:00Z</dcterms:modified>
</cp:coreProperties>
</file>