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39" w:rsidRDefault="00182439" w:rsidP="00182439">
      <w:pPr>
        <w:jc w:val="center"/>
        <w:rPr>
          <w:b/>
        </w:rPr>
      </w:pPr>
      <w:r w:rsidRPr="00684FA8">
        <w:rPr>
          <w:b/>
        </w:rPr>
        <w:t xml:space="preserve">PRACTICAL </w:t>
      </w:r>
      <w:r>
        <w:rPr>
          <w:b/>
        </w:rPr>
        <w:t>TECHNIQUES FOR TOPIC 2</w:t>
      </w:r>
    </w:p>
    <w:p w:rsidR="00F75ACE" w:rsidRDefault="00F75ACE" w:rsidP="00F75A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preparing a standard solution from a solid</w:t>
      </w:r>
    </w:p>
    <w:p w:rsidR="00F75ACE" w:rsidRDefault="00F75ACE" w:rsidP="00F75ACE">
      <w:pPr>
        <w:pStyle w:val="ListParagraph"/>
        <w:rPr>
          <w:b/>
        </w:rPr>
      </w:pPr>
    </w:p>
    <w:p w:rsidR="00F75ACE" w:rsidRDefault="00F75ACE" w:rsidP="00F75A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weigh the required amount of solid into a weighing boat</w:t>
      </w:r>
    </w:p>
    <w:p w:rsidR="00F75ACE" w:rsidRDefault="00F75ACE" w:rsidP="00F75A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pour the solid into a beaker</w:t>
      </w:r>
    </w:p>
    <w:p w:rsidR="00F75ACE" w:rsidRDefault="00F75ACE" w:rsidP="00F75A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 enough water to dissolve the solid</w:t>
      </w:r>
    </w:p>
    <w:p w:rsidR="00F75ACE" w:rsidRDefault="00F75ACE" w:rsidP="00F75A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transfer the solution to a 250 cm</w:t>
      </w:r>
      <w:r>
        <w:rPr>
          <w:b/>
          <w:vertAlign w:val="superscript"/>
        </w:rPr>
        <w:t>3</w:t>
      </w:r>
      <w:r>
        <w:rPr>
          <w:b/>
        </w:rPr>
        <w:t xml:space="preserve"> volumetric flask</w:t>
      </w:r>
    </w:p>
    <w:p w:rsidR="00F75ACE" w:rsidRDefault="00F75ACE" w:rsidP="00F75A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make up to the mark with distilled water</w:t>
      </w:r>
    </w:p>
    <w:p w:rsidR="00F75ACE" w:rsidRPr="00684FA8" w:rsidRDefault="00F75ACE" w:rsidP="00F75ACE">
      <w:pPr>
        <w:rPr>
          <w:u w:val="single"/>
        </w:rPr>
      </w:pPr>
      <w:r w:rsidRPr="00684FA8">
        <w:rPr>
          <w:u w:val="single"/>
        </w:rPr>
        <w:t>Techniques for good 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5ACE" w:rsidTr="00997792">
        <w:tc>
          <w:tcPr>
            <w:tcW w:w="4621" w:type="dxa"/>
          </w:tcPr>
          <w:p w:rsidR="00F75ACE" w:rsidRDefault="00F75ACE" w:rsidP="00997792">
            <w:r>
              <w:t>Technique</w:t>
            </w:r>
          </w:p>
        </w:tc>
        <w:tc>
          <w:tcPr>
            <w:tcW w:w="4621" w:type="dxa"/>
          </w:tcPr>
          <w:p w:rsidR="00F75ACE" w:rsidRDefault="00F75ACE" w:rsidP="00997792">
            <w:r>
              <w:t>Reason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 xml:space="preserve">Rinse the weighing boat after use and pour the </w:t>
            </w:r>
            <w:proofErr w:type="spellStart"/>
            <w:r>
              <w:t>rinsings</w:t>
            </w:r>
            <w:proofErr w:type="spellEnd"/>
            <w:r>
              <w:t xml:space="preserve"> into the beaker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all of the solid gets transferred from boat to beaker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 xml:space="preserve">Rinse the stirring rod after use and pour the </w:t>
            </w:r>
            <w:proofErr w:type="spellStart"/>
            <w:r>
              <w:t>rinsings</w:t>
            </w:r>
            <w:proofErr w:type="spellEnd"/>
            <w:r>
              <w:t xml:space="preserve"> into the beaker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that any solute particles left on the stirring rod are transferred back into the solution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 xml:space="preserve">Rinse the beaker after use and pour the </w:t>
            </w:r>
            <w:proofErr w:type="spellStart"/>
            <w:r>
              <w:t>rinsings</w:t>
            </w:r>
            <w:proofErr w:type="spellEnd"/>
            <w:r>
              <w:t xml:space="preserve"> into the volumetric flask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than all of the solute particles get transferred from beaker to volumetric flask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 xml:space="preserve">Rinse the funnel after use, allowing the </w:t>
            </w:r>
            <w:proofErr w:type="spellStart"/>
            <w:r>
              <w:t>rinsings</w:t>
            </w:r>
            <w:proofErr w:type="spellEnd"/>
            <w:r>
              <w:t xml:space="preserve"> to run into the volumetric flask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than any solute particles left on the funnel are transferred into the volumetric flask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Shake the mixture well when adding water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a uniform distribution of solute particles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Ensure the bottom of the meniscus lies on the li</w:t>
            </w:r>
            <w:r>
              <w:t>ne</w:t>
            </w:r>
          </w:p>
        </w:tc>
        <w:tc>
          <w:tcPr>
            <w:tcW w:w="4621" w:type="dxa"/>
          </w:tcPr>
          <w:p w:rsidR="00F75ACE" w:rsidRPr="00646013" w:rsidRDefault="00F75ACE" w:rsidP="00997792">
            <w:pPr>
              <w:rPr>
                <w:vertAlign w:val="superscript"/>
              </w:rPr>
            </w:pPr>
            <w:r>
              <w:t>To ensure that the volume of solution is exactly 250 cm</w:t>
            </w:r>
            <w:r>
              <w:rPr>
                <w:vertAlign w:val="superscript"/>
              </w:rPr>
              <w:t>3</w:t>
            </w:r>
          </w:p>
        </w:tc>
      </w:tr>
    </w:tbl>
    <w:p w:rsidR="00F75ACE" w:rsidRDefault="00F75ACE" w:rsidP="00F75ACE"/>
    <w:p w:rsidR="00F75ACE" w:rsidRDefault="00F75ACE" w:rsidP="00F75ACE">
      <w:r>
        <w:br w:type="page"/>
      </w:r>
    </w:p>
    <w:p w:rsidR="00F75ACE" w:rsidRDefault="00F75ACE" w:rsidP="00F75ACE">
      <w:pPr>
        <w:pStyle w:val="ListParagraph"/>
        <w:numPr>
          <w:ilvl w:val="0"/>
          <w:numId w:val="1"/>
        </w:numPr>
        <w:rPr>
          <w:b/>
        </w:rPr>
      </w:pPr>
      <w:r w:rsidRPr="00684FA8">
        <w:rPr>
          <w:b/>
        </w:rPr>
        <w:lastRenderedPageBreak/>
        <w:t>carrying out a titration</w:t>
      </w:r>
    </w:p>
    <w:p w:rsidR="00F75ACE" w:rsidRPr="00684FA8" w:rsidRDefault="00F75ACE" w:rsidP="00F75ACE">
      <w:pPr>
        <w:pStyle w:val="ListParagraph"/>
        <w:rPr>
          <w:b/>
        </w:rPr>
      </w:pPr>
    </w:p>
    <w:p w:rsidR="00F75ACE" w:rsidRDefault="00F75ACE" w:rsidP="00F75ACE">
      <w:pPr>
        <w:pStyle w:val="ListParagraph"/>
        <w:numPr>
          <w:ilvl w:val="0"/>
          <w:numId w:val="3"/>
        </w:numPr>
      </w:pPr>
      <w:r>
        <w:t>fill a burette with the required solution (usually acid)</w:t>
      </w:r>
    </w:p>
    <w:p w:rsidR="00F75ACE" w:rsidRDefault="00F75ACE" w:rsidP="00F75ACE">
      <w:pPr>
        <w:pStyle w:val="ListParagraph"/>
        <w:numPr>
          <w:ilvl w:val="0"/>
          <w:numId w:val="3"/>
        </w:numPr>
      </w:pPr>
      <w:r>
        <w:t>pipette a sample of the other required solution (usually alkali) into the conical flask</w:t>
      </w:r>
    </w:p>
    <w:p w:rsidR="00F75ACE" w:rsidRDefault="00F75ACE" w:rsidP="00F75ACE">
      <w:pPr>
        <w:pStyle w:val="ListParagraph"/>
        <w:numPr>
          <w:ilvl w:val="0"/>
          <w:numId w:val="3"/>
        </w:numPr>
      </w:pPr>
      <w:r>
        <w:t>add a suitable indicator</w:t>
      </w:r>
    </w:p>
    <w:p w:rsidR="00F75ACE" w:rsidRDefault="00F75ACE" w:rsidP="00F75ACE">
      <w:pPr>
        <w:pStyle w:val="ListParagraph"/>
        <w:numPr>
          <w:ilvl w:val="0"/>
          <w:numId w:val="3"/>
        </w:numPr>
      </w:pPr>
      <w:r>
        <w:t>add the acid to the alkali until the indicator changes colour</w:t>
      </w:r>
    </w:p>
    <w:p w:rsidR="00F75ACE" w:rsidRDefault="00F75ACE" w:rsidP="00F75ACE">
      <w:pPr>
        <w:pStyle w:val="ListParagraph"/>
        <w:numPr>
          <w:ilvl w:val="0"/>
          <w:numId w:val="3"/>
        </w:numPr>
      </w:pPr>
      <w:r>
        <w:t>record the volume of acid used</w:t>
      </w:r>
    </w:p>
    <w:p w:rsidR="00F75ACE" w:rsidRPr="00992EC6" w:rsidRDefault="00F75ACE" w:rsidP="00F75ACE">
      <w:pPr>
        <w:rPr>
          <w:u w:val="single"/>
        </w:rPr>
      </w:pPr>
      <w:r w:rsidRPr="00992EC6">
        <w:rPr>
          <w:u w:val="single"/>
        </w:rPr>
        <w:t>Techniques for good 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5ACE" w:rsidTr="00997792">
        <w:tc>
          <w:tcPr>
            <w:tcW w:w="4621" w:type="dxa"/>
          </w:tcPr>
          <w:p w:rsidR="00F75ACE" w:rsidRDefault="00F75ACE" w:rsidP="00997792">
            <w:r>
              <w:t>Technique</w:t>
            </w:r>
          </w:p>
        </w:tc>
        <w:tc>
          <w:tcPr>
            <w:tcW w:w="4621" w:type="dxa"/>
          </w:tcPr>
          <w:p w:rsidR="00F75ACE" w:rsidRDefault="00F75ACE" w:rsidP="00997792">
            <w:r>
              <w:t>Reason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Rinse the burette with acid before use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that any water or other substance left in the burette is washed out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Ensure the tap is full of liquid before use (with no air bubbles)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that the volume change is exactly the same as the volume of liquid delivered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 xml:space="preserve">Record all burette readings to 2 </w:t>
            </w:r>
            <w:proofErr w:type="spellStart"/>
            <w:r>
              <w:t>dp</w:t>
            </w:r>
            <w:proofErr w:type="spellEnd"/>
          </w:p>
        </w:tc>
        <w:tc>
          <w:tcPr>
            <w:tcW w:w="4621" w:type="dxa"/>
          </w:tcPr>
          <w:p w:rsidR="00F75ACE" w:rsidRDefault="00F75ACE" w:rsidP="00997792">
            <w:r>
              <w:t>Ensure that all readings are made to the nearest drip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Ensure the reading is taken from the base of the meniscus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that the correct volume delivered is calculated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Allow the pipette to empty under gravity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that the pipette delivers the correct volume (not too much)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Touch the surface of the liquid with the pipette tip after emptying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that the pipette delivers the correct volume (not too little)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Add only two drops of indicator</w:t>
            </w:r>
          </w:p>
        </w:tc>
        <w:tc>
          <w:tcPr>
            <w:tcW w:w="4621" w:type="dxa"/>
          </w:tcPr>
          <w:p w:rsidR="00F75ACE" w:rsidRDefault="00F75ACE" w:rsidP="00997792">
            <w:r>
              <w:t>Because indicators are acidic and will affect the equivalence point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Add the acid dropwise at the end point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that the equivalence point is seen as it happens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Rinse the top of the conical flask with distilled water during the titration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that any acid or alkali is washed into the conical flask</w:t>
            </w:r>
          </w:p>
        </w:tc>
      </w:tr>
      <w:tr w:rsidR="00F75ACE" w:rsidTr="00997792">
        <w:tc>
          <w:tcPr>
            <w:tcW w:w="4621" w:type="dxa"/>
          </w:tcPr>
          <w:p w:rsidR="00F75ACE" w:rsidRDefault="00F75ACE" w:rsidP="00997792">
            <w:r>
              <w:t>Rinse the conical flask with distilled water after use</w:t>
            </w:r>
          </w:p>
        </w:tc>
        <w:tc>
          <w:tcPr>
            <w:tcW w:w="4621" w:type="dxa"/>
          </w:tcPr>
          <w:p w:rsidR="00F75ACE" w:rsidRDefault="00F75ACE" w:rsidP="00997792">
            <w:r>
              <w:t>Ensure there are no moles of acid or alkali left behind</w:t>
            </w:r>
          </w:p>
        </w:tc>
      </w:tr>
    </w:tbl>
    <w:p w:rsidR="00F75ACE" w:rsidRDefault="00F75ACE" w:rsidP="00F75ACE"/>
    <w:p w:rsidR="000F4475" w:rsidRDefault="00F75ACE">
      <w:bookmarkStart w:id="0" w:name="_GoBack"/>
      <w:bookmarkEnd w:id="0"/>
    </w:p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0A54"/>
    <w:multiLevelType w:val="hybridMultilevel"/>
    <w:tmpl w:val="CB0AC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83E71"/>
    <w:multiLevelType w:val="hybridMultilevel"/>
    <w:tmpl w:val="79B0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639C"/>
    <w:multiLevelType w:val="hybridMultilevel"/>
    <w:tmpl w:val="17626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39"/>
    <w:rsid w:val="00182439"/>
    <w:rsid w:val="00321E88"/>
    <w:rsid w:val="00426196"/>
    <w:rsid w:val="005C2E1C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52FC"/>
  <w15:chartTrackingRefBased/>
  <w15:docId w15:val="{17505696-7912-4AD6-B94C-2C0B796F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4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39"/>
    <w:pPr>
      <w:ind w:left="720"/>
      <w:contextualSpacing/>
    </w:pPr>
  </w:style>
  <w:style w:type="table" w:styleId="TableGrid">
    <w:name w:val="Table Grid"/>
    <w:basedOn w:val="TableNormal"/>
    <w:uiPriority w:val="59"/>
    <w:rsid w:val="0018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2016-09-14T16:44:00Z</dcterms:created>
  <dcterms:modified xsi:type="dcterms:W3CDTF">2016-09-14T18:47:00Z</dcterms:modified>
</cp:coreProperties>
</file>