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2" w:rsidRDefault="002C29D1" w:rsidP="00047472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10</w:t>
      </w:r>
      <w:r w:rsidR="00047472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Thermodynamics</w:t>
      </w:r>
    </w:p>
    <w:p w:rsidR="002C29D1" w:rsidRDefault="002C29D1" w:rsidP="002C29D1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 xml:space="preserve">I can define the terms </w:t>
      </w:r>
      <w:r w:rsidRPr="002C29D1">
        <w:rPr>
          <w:rFonts w:ascii="AQAChevinPro-Medium" w:hAnsi="AQAChevinPro-Medium" w:cs="AQAChevinPro-Medium"/>
        </w:rPr>
        <w:t>enth</w:t>
      </w:r>
      <w:r>
        <w:rPr>
          <w:rFonts w:ascii="AQAChevinPro-Medium" w:hAnsi="AQAChevinPro-Medium" w:cs="AQAChevinPro-Medium"/>
        </w:rPr>
        <w:t>alpy of lattice dissociation, enthalpy of lattice formation,</w:t>
      </w:r>
      <w:r w:rsidRPr="002C29D1">
        <w:rPr>
          <w:rFonts w:ascii="AQAChevinPro-Medium" w:hAnsi="AQAChevinPro-Medium" w:cs="AQAChevinPro-Medium"/>
        </w:rPr>
        <w:t xml:space="preserve"> </w:t>
      </w:r>
      <w:r>
        <w:rPr>
          <w:rFonts w:ascii="AQAChevinPro-Medium" w:hAnsi="AQAChevinPro-Medium" w:cs="AQAChevinPro-Medium"/>
        </w:rPr>
        <w:t xml:space="preserve">enthalpy of formation, ionisation energy, </w:t>
      </w:r>
      <w:r w:rsidRPr="002C29D1">
        <w:rPr>
          <w:rFonts w:ascii="AQAChevinPro-Medium" w:hAnsi="AQAChevinPro-Medium" w:cs="AQAChevinPro-Medium"/>
        </w:rPr>
        <w:t>enthalpy of atom</w:t>
      </w:r>
      <w:r>
        <w:rPr>
          <w:rFonts w:ascii="AQAChevinPro-Medium" w:hAnsi="AQAChevinPro-Medium" w:cs="AQAChevinPro-Medium"/>
        </w:rPr>
        <w:t>isation, bond enthalpy and</w:t>
      </w:r>
      <w:r w:rsidRPr="002C29D1">
        <w:rPr>
          <w:rFonts w:ascii="AQAChevinPro-Medium" w:hAnsi="AQAChevinPro-Medium" w:cs="AQAChevinPro-Medium"/>
        </w:rPr>
        <w:t xml:space="preserve"> electron affinity</w:t>
      </w:r>
    </w:p>
    <w:p w:rsidR="002C29D1" w:rsidRDefault="002C29D1" w:rsidP="002C29D1">
      <w:pPr>
        <w:pStyle w:val="ListParagraph"/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</w:p>
    <w:p w:rsid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 xml:space="preserve">I can construct Born–Haber cycles and use them </w:t>
      </w:r>
      <w:r w:rsidRPr="002C29D1">
        <w:rPr>
          <w:rFonts w:ascii="AQAChevinPro-Medium" w:hAnsi="AQAChevinPro-Medium" w:cs="AQAChevinPro-Medium"/>
        </w:rPr>
        <w:t xml:space="preserve">to calculate lattice </w:t>
      </w:r>
      <w:r>
        <w:rPr>
          <w:rFonts w:ascii="AQAChevinPro-Medium" w:hAnsi="AQAChevinPro-Medium" w:cs="AQAChevinPro-Medium"/>
        </w:rPr>
        <w:t>enthalpies</w:t>
      </w:r>
    </w:p>
    <w:p w:rsidR="002C29D1" w:rsidRPr="002C29D1" w:rsidRDefault="002C29D1" w:rsidP="002C29D1">
      <w:pPr>
        <w:pStyle w:val="ListParagraph"/>
        <w:rPr>
          <w:rFonts w:ascii="AQAChevinPro-Medium" w:hAnsi="AQAChevinPro-Medium" w:cs="AQAChevinPro-Medium"/>
        </w:rPr>
      </w:pPr>
    </w:p>
    <w:p w:rsid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 xml:space="preserve">I can </w:t>
      </w:r>
      <w:r w:rsidRPr="002C29D1">
        <w:rPr>
          <w:rFonts w:ascii="AQAChevinPro-Medium" w:hAnsi="AQAChevinPro-Medium" w:cs="AQAChevinPro-Medium"/>
        </w:rPr>
        <w:t>compare lattice enthalpies from Born–Haber cycles with those from calculations based on a perfect ionic model to provide evidence for covalen</w:t>
      </w:r>
      <w:r>
        <w:rPr>
          <w:rFonts w:ascii="AQAChevinPro-Medium" w:hAnsi="AQAChevinPro-Medium" w:cs="AQAChevinPro-Medium"/>
        </w:rPr>
        <w:t>t character in ionic compounds</w:t>
      </w:r>
    </w:p>
    <w:p w:rsidR="002C29D1" w:rsidRPr="002C29D1" w:rsidRDefault="002C29D1" w:rsidP="002C29D1">
      <w:pPr>
        <w:pStyle w:val="ListParagraph"/>
        <w:rPr>
          <w:rFonts w:ascii="AQAChevinPro-Medium" w:hAnsi="AQAChevinPro-Medium" w:cs="AQAChevinPro-Medium"/>
        </w:rPr>
      </w:pPr>
    </w:p>
    <w:p w:rsid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 xml:space="preserve">I can define the term enthalpy of hydration and use cycles </w:t>
      </w:r>
      <w:r w:rsidRPr="002C29D1">
        <w:rPr>
          <w:rFonts w:ascii="AQAChevinPro-Medium" w:hAnsi="AQAChevinPro-Medium" w:cs="AQAChevinPro-Medium"/>
        </w:rPr>
        <w:t>to calculate enthalpies of solution for ionic compounds from lattice enthalp</w:t>
      </w:r>
      <w:r>
        <w:rPr>
          <w:rFonts w:ascii="AQAChevinPro-Medium" w:hAnsi="AQAChevinPro-Medium" w:cs="AQAChevinPro-Medium"/>
        </w:rPr>
        <w:t>ies and enthalpies of hydration and to perform other enthalpy change calculations</w:t>
      </w:r>
    </w:p>
    <w:p w:rsidR="002C29D1" w:rsidRPr="002C29D1" w:rsidRDefault="002C29D1" w:rsidP="002C29D1">
      <w:pPr>
        <w:pStyle w:val="ListParagraph"/>
        <w:rPr>
          <w:rFonts w:ascii="AQAChevinPro-Medium" w:hAnsi="AQAChevinPro-Medium" w:cs="AQAChevinPro-Medium"/>
        </w:rPr>
      </w:pPr>
    </w:p>
    <w:p w:rsid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 xml:space="preserve">I can explain that </w:t>
      </w:r>
      <w:r w:rsidRPr="002C29D1">
        <w:rPr>
          <w:rFonts w:ascii="AQAChevinPro-Medium" w:hAnsi="AQAChevinPro-Medium" w:cs="AQAChevinPro-Medium"/>
        </w:rPr>
        <w:t>∆H, whilst important, is not sufficient t</w:t>
      </w:r>
      <w:r>
        <w:rPr>
          <w:rFonts w:ascii="AQAChevinPro-Medium" w:hAnsi="AQAChevinPro-Medium" w:cs="AQAChevinPro-Medium"/>
        </w:rPr>
        <w:t>o explain feasible change, that the</w:t>
      </w:r>
      <w:r w:rsidRPr="002C29D1">
        <w:rPr>
          <w:rFonts w:ascii="AQAChevinPro-Medium" w:hAnsi="AQAChevinPro-Medium" w:cs="AQAChevinPro-Medium"/>
        </w:rPr>
        <w:t xml:space="preserve"> concept of increasing di</w:t>
      </w:r>
      <w:r>
        <w:rPr>
          <w:rFonts w:ascii="AQAChevinPro-Medium" w:hAnsi="AQAChevinPro-Medium" w:cs="AQAChevinPro-Medium"/>
        </w:rPr>
        <w:t xml:space="preserve">sorder (entropy change, ∆S) </w:t>
      </w:r>
      <w:r w:rsidRPr="002C29D1">
        <w:rPr>
          <w:rFonts w:ascii="AQAChevinPro-Medium" w:hAnsi="AQAChevinPro-Medium" w:cs="AQAChevinPro-Medium"/>
        </w:rPr>
        <w:t>accounts for the above deficiency, illustrated by physical</w:t>
      </w:r>
      <w:r>
        <w:rPr>
          <w:rFonts w:ascii="AQAChevinPro-Medium" w:hAnsi="AQAChevinPro-Medium" w:cs="AQAChevinPro-Medium"/>
        </w:rPr>
        <w:t xml:space="preserve"> changes and chemical changes, and I can calculate entropy changes from absolute entropy values</w:t>
      </w:r>
    </w:p>
    <w:p w:rsidR="002C29D1" w:rsidRPr="002C29D1" w:rsidRDefault="002C29D1" w:rsidP="002C29D1">
      <w:pPr>
        <w:pStyle w:val="ListParagraph"/>
        <w:rPr>
          <w:rFonts w:ascii="AQAChevinPro-Medium" w:hAnsi="AQAChevinPro-Medium" w:cs="AQAChevinPro-Medium"/>
        </w:rPr>
      </w:pPr>
    </w:p>
    <w:p w:rsidR="002C29D1" w:rsidRPr="002C29D1" w:rsidRDefault="002C29D1" w:rsidP="002C29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</w:rPr>
      </w:pPr>
      <w:r>
        <w:rPr>
          <w:rFonts w:ascii="AQAChevinPro-Medium" w:hAnsi="AQAChevinPro-Medium" w:cs="AQAChevinPro-Medium"/>
        </w:rPr>
        <w:t>I can explain that</w:t>
      </w:r>
      <w:r w:rsidRPr="002C29D1">
        <w:rPr>
          <w:rFonts w:ascii="AQAChevinPro-Medium" w:hAnsi="AQAChevinPro-Medium" w:cs="AQAChevinPro-Medium"/>
        </w:rPr>
        <w:t xml:space="preserve"> balance between entropy and enthalpy determines the feasibility of a reaction given by the relationship: ∆G = ∆H –</w:t>
      </w:r>
      <w:r>
        <w:rPr>
          <w:rFonts w:ascii="AQAChevinPro-Medium" w:hAnsi="AQAChevinPro-Medium" w:cs="AQAChevinPro-Medium"/>
        </w:rPr>
        <w:t xml:space="preserve"> T∆S (derivation not required), explain that f</w:t>
      </w:r>
      <w:r w:rsidRPr="002C29D1">
        <w:rPr>
          <w:rFonts w:ascii="AQAChevinPro-Medium" w:hAnsi="AQAChevinPro-Medium" w:cs="AQAChevinPro-Medium"/>
        </w:rPr>
        <w:t xml:space="preserve">or a reaction to be feasible, the value </w:t>
      </w:r>
      <w:r>
        <w:rPr>
          <w:rFonts w:ascii="AQAChevinPro-Medium" w:hAnsi="AQAChevinPro-Medium" w:cs="AQAChevinPro-Medium"/>
        </w:rPr>
        <w:t xml:space="preserve">of ∆G must be zero or negative, and </w:t>
      </w:r>
      <w:r w:rsidRPr="002C29D1">
        <w:rPr>
          <w:rFonts w:ascii="AQAChevinPro-Medium" w:hAnsi="AQAChevinPro-Medium" w:cs="AQAChevinPro-Medium"/>
        </w:rPr>
        <w:t>use the relationship ∆G = ∆H – T∆S to determine h</w:t>
      </w:r>
      <w:r>
        <w:rPr>
          <w:rFonts w:ascii="AQAChevinPro-Medium" w:hAnsi="AQAChevinPro-Medium" w:cs="AQAChevinPro-Medium"/>
        </w:rPr>
        <w:t>ow ∆G varies with temperature and</w:t>
      </w:r>
      <w:r w:rsidRPr="002C29D1">
        <w:rPr>
          <w:rFonts w:ascii="AQAChevinPro-Medium" w:hAnsi="AQAChevinPro-Medium" w:cs="AQAChevinPro-Medium"/>
        </w:rPr>
        <w:t xml:space="preserve"> to determine the temperature at wh</w:t>
      </w:r>
      <w:r>
        <w:rPr>
          <w:rFonts w:ascii="AQAChevinPro-Medium" w:hAnsi="AQAChevinPro-Medium" w:cs="AQAChevinPro-Medium"/>
        </w:rPr>
        <w:t>ich a reaction becomes feasible</w:t>
      </w:r>
    </w:p>
    <w:p w:rsidR="00546E40" w:rsidRDefault="00546E40" w:rsidP="00546E40"/>
    <w:p w:rsidR="002C29D1" w:rsidRDefault="002C29D1" w:rsidP="00546E40">
      <w:bookmarkStart w:id="0" w:name="_GoBack"/>
      <w:bookmarkEnd w:id="0"/>
    </w:p>
    <w:sectPr w:rsidR="002C2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0E3D"/>
    <w:multiLevelType w:val="hybridMultilevel"/>
    <w:tmpl w:val="CF54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377"/>
    <w:multiLevelType w:val="hybridMultilevel"/>
    <w:tmpl w:val="663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B"/>
    <w:rsid w:val="0000431F"/>
    <w:rsid w:val="00047472"/>
    <w:rsid w:val="002C29D1"/>
    <w:rsid w:val="00371398"/>
    <w:rsid w:val="00426196"/>
    <w:rsid w:val="00535C3B"/>
    <w:rsid w:val="00546E40"/>
    <w:rsid w:val="005C2E1C"/>
    <w:rsid w:val="00B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32C0"/>
  <w15:chartTrackingRefBased/>
  <w15:docId w15:val="{4E65A26E-5D0C-4009-BED5-F276428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2016-09-03T12:46:00Z</dcterms:created>
  <dcterms:modified xsi:type="dcterms:W3CDTF">2016-09-04T10:45:00Z</dcterms:modified>
</cp:coreProperties>
</file>