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8D3" w:rsidRDefault="00E348D3" w:rsidP="00E348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36"/>
          <w:szCs w:val="36"/>
          <w:lang w:eastAsia="en-US"/>
        </w:rPr>
      </w:pPr>
      <w:r>
        <w:rPr>
          <w:rFonts w:ascii="Verdana" w:hAnsi="Verdana" w:cs="Times New Roman"/>
          <w:b/>
          <w:bCs/>
          <w:sz w:val="36"/>
          <w:szCs w:val="36"/>
        </w:rPr>
        <w:t>A-LEVEL CHEMISTRY</w:t>
      </w:r>
    </w:p>
    <w:p w:rsidR="00E348D3" w:rsidRDefault="00E348D3" w:rsidP="00E348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E348D3" w:rsidRDefault="00E348D3" w:rsidP="00E348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PAPER 1</w:t>
      </w:r>
    </w:p>
    <w:p w:rsidR="00E348D3" w:rsidRDefault="00E348D3" w:rsidP="00E348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  <w:r>
        <w:rPr>
          <w:rFonts w:ascii="Verdana" w:hAnsi="Verdana" w:cs="Times New Roman"/>
          <w:b/>
          <w:bCs/>
          <w:sz w:val="28"/>
          <w:szCs w:val="28"/>
        </w:rPr>
        <w:t>PRACTICE PAPER 10</w:t>
      </w:r>
    </w:p>
    <w:p w:rsidR="00E348D3" w:rsidRDefault="00E348D3" w:rsidP="00E348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b/>
          <w:bCs/>
          <w:sz w:val="28"/>
          <w:szCs w:val="28"/>
        </w:rPr>
      </w:pPr>
    </w:p>
    <w:p w:rsidR="00E348D3" w:rsidRDefault="00E348D3" w:rsidP="00E348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Answer all questions</w:t>
      </w:r>
    </w:p>
    <w:p w:rsidR="00E348D3" w:rsidRDefault="00E348D3" w:rsidP="00E348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Max 105 marks</w:t>
      </w:r>
    </w:p>
    <w:p w:rsidR="00E348D3" w:rsidRDefault="00E348D3" w:rsidP="00E348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Verdana" w:hAnsi="Verdana" w:cs="Times New Roman"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>2 hours</w:t>
      </w:r>
    </w:p>
    <w:p w:rsidR="00E348D3" w:rsidRDefault="00E348D3" w:rsidP="00E348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Verdana" w:hAnsi="Verdana" w:cs="Times New Roman"/>
          <w:sz w:val="24"/>
          <w:szCs w:val="24"/>
        </w:rPr>
      </w:pPr>
    </w:p>
    <w:p w:rsidR="00E348D3" w:rsidRDefault="00E348D3" w:rsidP="00E348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Verdana" w:hAnsi="Verdana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26"/>
        <w:gridCol w:w="6946"/>
        <w:gridCol w:w="1382"/>
      </w:tblGrid>
      <w:tr w:rsidR="00E348D3" w:rsidTr="009F7B9B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D3" w:rsidRDefault="00E348D3" w:rsidP="009F7B9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3" w:rsidRDefault="00E348D3" w:rsidP="009F7B9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E348D3" w:rsidRDefault="00E348D3" w:rsidP="009F7B9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Name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……………………………………………………………..</w:t>
            </w:r>
          </w:p>
          <w:p w:rsidR="00E348D3" w:rsidRDefault="00E348D3" w:rsidP="009F7B9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D3" w:rsidRDefault="00E348D3" w:rsidP="009F7B9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  <w:tr w:rsidR="00E348D3" w:rsidTr="009F7B9B">
        <w:tc>
          <w:tcPr>
            <w:tcW w:w="15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348D3" w:rsidRDefault="00E348D3" w:rsidP="009F7B9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48D3" w:rsidRDefault="00E348D3" w:rsidP="009F7B9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  <w:p w:rsidR="00E348D3" w:rsidRDefault="00E348D3" w:rsidP="009F7B9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  <w:r>
              <w:rPr>
                <w:rFonts w:ascii="Verdana" w:hAnsi="Verdana" w:cs="Times New Roman"/>
                <w:sz w:val="24"/>
                <w:szCs w:val="24"/>
              </w:rPr>
              <w:t>Mark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……../105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……....%</w:t>
            </w:r>
            <w:r>
              <w:rPr>
                <w:rFonts w:ascii="Verdana" w:hAnsi="Verdana" w:cs="Times New Roman"/>
                <w:sz w:val="24"/>
                <w:szCs w:val="24"/>
              </w:rPr>
              <w:tab/>
              <w:t>Grade ………</w:t>
            </w:r>
          </w:p>
          <w:p w:rsidR="00E348D3" w:rsidRDefault="00E348D3" w:rsidP="009F7B9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48D3" w:rsidRDefault="00E348D3" w:rsidP="009F7B9B">
            <w:pPr>
              <w:pStyle w:val="question"/>
              <w:tabs>
                <w:tab w:val="left" w:pos="56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line="276" w:lineRule="auto"/>
              <w:ind w:left="0" w:firstLine="0"/>
              <w:rPr>
                <w:rFonts w:ascii="Verdana" w:hAnsi="Verdana" w:cs="Times New Roman"/>
                <w:sz w:val="24"/>
                <w:szCs w:val="24"/>
              </w:rPr>
            </w:pPr>
          </w:p>
        </w:tc>
      </w:tr>
    </w:tbl>
    <w:p w:rsidR="00E348D3" w:rsidRDefault="00E348D3" w:rsidP="00E348D3">
      <w:pPr>
        <w:pStyle w:val="question"/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b/>
          <w:bCs/>
        </w:rPr>
      </w:pP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sz w:val="16"/>
          <w:szCs w:val="16"/>
          <w:lang w:val="en-US"/>
        </w:rPr>
        <w:br/>
      </w:r>
    </w:p>
    <w:p w:rsidR="00E348D3" w:rsidRDefault="00E348D3">
      <w:p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br w:type="page"/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lastRenderedPageBreak/>
        <w:t>1.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Steel rods are cleaned before they are painted. The rods are cleaned by passing them through a bath of dilute sulfuric acid. This process produces large quantities of iron(II) sulfate.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Write an equation for the reaction between iron and dilute sulfuric acid.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State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chemical hazard in this process and suggest an appropriate safety precaution for this hazard.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Hazard 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Precaution 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3 marks)</w:t>
      </w:r>
    </w:p>
    <w:p w:rsidR="006E5138" w:rsidRDefault="006E5138" w:rsidP="006E513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2.</w:t>
      </w:r>
      <w:r>
        <w:rPr>
          <w:rFonts w:ascii="Arial" w:hAnsi="Arial" w:cs="Arial"/>
          <w:b/>
          <w:bCs/>
          <w:lang w:val="en-US"/>
        </w:rPr>
        <w:tab/>
      </w:r>
      <w:r>
        <w:rPr>
          <w:rFonts w:ascii="Arial" w:hAnsi="Arial" w:cs="Arial"/>
          <w:lang w:val="en-US"/>
        </w:rPr>
        <w:t>Lead(II) chromate(VI) is a bright yellow solid and is almost insoluble in water. It is the pigment in the yellow paint that has been used for road markings.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Lead(II) chromate(VI) can be prepared by mixing solutions of sodium chromate(VI) and lead(II) nitrate.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Write an equation for this reaction.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     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the low solubility of lead(II) chromate(VI) when it was used in the paint for road markings.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(c)     Lead(II) chromate(VI) does </w:t>
      </w:r>
      <w:r>
        <w:rPr>
          <w:rFonts w:ascii="Arial" w:hAnsi="Arial" w:cs="Arial"/>
          <w:b/>
          <w:bCs/>
          <w:lang w:val="en-US"/>
        </w:rPr>
        <w:t>not</w:t>
      </w:r>
      <w:r>
        <w:rPr>
          <w:rFonts w:ascii="Arial" w:hAnsi="Arial" w:cs="Arial"/>
          <w:lang w:val="en-US"/>
        </w:rPr>
        <w:t xml:space="preserve"> react with </w:t>
      </w:r>
      <w:proofErr w:type="spellStart"/>
      <w:r>
        <w:rPr>
          <w:rFonts w:ascii="Arial" w:hAnsi="Arial" w:cs="Arial"/>
          <w:lang w:val="en-US"/>
        </w:rPr>
        <w:t>oxidising</w:t>
      </w:r>
      <w:proofErr w:type="spellEnd"/>
      <w:r>
        <w:rPr>
          <w:rFonts w:ascii="Arial" w:hAnsi="Arial" w:cs="Arial"/>
          <w:lang w:val="en-US"/>
        </w:rPr>
        <w:t xml:space="preserve"> agents.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advantage of this property of lead(II) chromate(VI) when it was used in the paint for road markings.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(d)     Lead(II) chromate(VI) was used to give a bright yellow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to some types of foodstuffs.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Suggest </w:t>
      </w:r>
      <w:r>
        <w:rPr>
          <w:rFonts w:ascii="Arial" w:hAnsi="Arial" w:cs="Arial"/>
          <w:b/>
          <w:bCs/>
          <w:lang w:val="en-US"/>
        </w:rPr>
        <w:t>one</w:t>
      </w:r>
      <w:r>
        <w:rPr>
          <w:rFonts w:ascii="Arial" w:hAnsi="Arial" w:cs="Arial"/>
          <w:lang w:val="en-US"/>
        </w:rPr>
        <w:t xml:space="preserve"> reason why this use is now illegal.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4360E7" w:rsidRDefault="004360E7" w:rsidP="00436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6E5138" w:rsidRDefault="004360E7" w:rsidP="004360E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228"/>
      </w:tblGrid>
      <w:tr w:rsidR="00E348D3" w:rsidTr="006B3028">
        <w:tc>
          <w:tcPr>
            <w:tcW w:w="562" w:type="dxa"/>
          </w:tcPr>
          <w:p w:rsidR="00E348D3" w:rsidRDefault="004360E7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3</w:t>
            </w:r>
            <w:r w:rsidR="00E348D3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0228" w:type="dxa"/>
          </w:tcPr>
          <w:p w:rsidR="00E348D3" w:rsidRDefault="00E348D3" w:rsidP="00E348D3">
            <w:r>
              <w:rPr>
                <w:noProof/>
              </w:rPr>
              <w:drawing>
                <wp:inline distT="0" distB="0" distL="0" distR="0" wp14:anchorId="12D82691" wp14:editId="094C3184">
                  <wp:extent cx="5943600" cy="3552825"/>
                  <wp:effectExtent l="0" t="0" r="0" b="952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8D3" w:rsidRPr="006B3028" w:rsidRDefault="00E348D3" w:rsidP="006B3028">
            <w:r>
              <w:rPr>
                <w:noProof/>
              </w:rPr>
              <w:drawing>
                <wp:inline distT="0" distB="0" distL="0" distR="0" wp14:anchorId="4B144834" wp14:editId="6422D605">
                  <wp:extent cx="5943600" cy="2390775"/>
                  <wp:effectExtent l="0" t="0" r="0" b="9525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3600" cy="2390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8D3" w:rsidTr="006B3028">
        <w:tc>
          <w:tcPr>
            <w:tcW w:w="562" w:type="dxa"/>
          </w:tcPr>
          <w:p w:rsidR="00E348D3" w:rsidRDefault="00E348D3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8" w:type="dxa"/>
          </w:tcPr>
          <w:p w:rsidR="00E348D3" w:rsidRDefault="006B3028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C3C6748" wp14:editId="6453288C">
                  <wp:extent cx="5800725" cy="2019300"/>
                  <wp:effectExtent l="0" t="0" r="9525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2019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8D3" w:rsidTr="006B3028">
        <w:tc>
          <w:tcPr>
            <w:tcW w:w="562" w:type="dxa"/>
          </w:tcPr>
          <w:p w:rsidR="00E348D3" w:rsidRDefault="00E348D3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8" w:type="dxa"/>
          </w:tcPr>
          <w:p w:rsidR="00E348D3" w:rsidRDefault="006B3028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FA9600F" wp14:editId="1FD7262C">
                  <wp:extent cx="5743575" cy="2905125"/>
                  <wp:effectExtent l="0" t="0" r="9525" b="9525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3575" cy="290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8D3" w:rsidTr="006B3028">
        <w:tc>
          <w:tcPr>
            <w:tcW w:w="562" w:type="dxa"/>
          </w:tcPr>
          <w:p w:rsidR="00E348D3" w:rsidRDefault="006B3028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br w:type="page"/>
            </w:r>
          </w:p>
        </w:tc>
        <w:tc>
          <w:tcPr>
            <w:tcW w:w="10228" w:type="dxa"/>
          </w:tcPr>
          <w:p w:rsidR="006B3028" w:rsidRDefault="006B3028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36782F0" wp14:editId="3516DDB2">
                  <wp:extent cx="5867400" cy="2324100"/>
                  <wp:effectExtent l="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2324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48D3" w:rsidRDefault="006B3028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08491650" wp14:editId="76E9BFC5">
                  <wp:extent cx="5419725" cy="3390900"/>
                  <wp:effectExtent l="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9725" cy="3390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028" w:rsidRDefault="006B3028" w:rsidP="006B30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17 marks)</w:t>
            </w:r>
          </w:p>
          <w:p w:rsidR="006B3028" w:rsidRDefault="006B3028" w:rsidP="006B30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348D3" w:rsidTr="006B3028">
        <w:tc>
          <w:tcPr>
            <w:tcW w:w="562" w:type="dxa"/>
          </w:tcPr>
          <w:p w:rsidR="00E348D3" w:rsidRDefault="004360E7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lastRenderedPageBreak/>
              <w:t>4</w:t>
            </w:r>
            <w:r w:rsidR="006B302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0228" w:type="dxa"/>
          </w:tcPr>
          <w:p w:rsidR="00E348D3" w:rsidRDefault="006B3028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105EFE1" wp14:editId="7BD057B0">
                  <wp:extent cx="5848350" cy="48768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8350" cy="487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B3028" w:rsidRDefault="006B3028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228"/>
      </w:tblGrid>
      <w:tr w:rsidR="00E348D3" w:rsidTr="006B3028">
        <w:tc>
          <w:tcPr>
            <w:tcW w:w="562" w:type="dxa"/>
          </w:tcPr>
          <w:p w:rsidR="00E348D3" w:rsidRDefault="00E348D3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8" w:type="dxa"/>
          </w:tcPr>
          <w:p w:rsidR="00E348D3" w:rsidRDefault="006B3028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E8EAF5C" wp14:editId="32EA2ED8">
                  <wp:extent cx="5800725" cy="3048000"/>
                  <wp:effectExtent l="0" t="0" r="9525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0725" cy="30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028" w:rsidRDefault="006B3028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5DA9ED5" wp14:editId="0F0C46DF">
                  <wp:extent cx="5867400" cy="1790700"/>
                  <wp:effectExtent l="0" t="0" r="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348D3" w:rsidTr="006B3028">
        <w:tc>
          <w:tcPr>
            <w:tcW w:w="562" w:type="dxa"/>
          </w:tcPr>
          <w:p w:rsidR="00E348D3" w:rsidRDefault="00E348D3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8" w:type="dxa"/>
          </w:tcPr>
          <w:p w:rsidR="00E348D3" w:rsidRDefault="006B3028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3556E84" wp14:editId="1F7D8EA7">
                  <wp:extent cx="5867400" cy="5000625"/>
                  <wp:effectExtent l="0" t="0" r="0" b="952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0" cy="5000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028" w:rsidRDefault="006B3028" w:rsidP="006B30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(Total 14 marks)</w:t>
            </w:r>
          </w:p>
          <w:p w:rsidR="006B3028" w:rsidRDefault="006B3028" w:rsidP="006B302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E348D3" w:rsidTr="006B3028">
        <w:tc>
          <w:tcPr>
            <w:tcW w:w="562" w:type="dxa"/>
          </w:tcPr>
          <w:p w:rsidR="00E348D3" w:rsidRDefault="004360E7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5</w:t>
            </w:r>
            <w:r w:rsidR="006B302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.</w:t>
            </w:r>
          </w:p>
        </w:tc>
        <w:tc>
          <w:tcPr>
            <w:tcW w:w="10228" w:type="dxa"/>
          </w:tcPr>
          <w:p w:rsidR="00E348D3" w:rsidRDefault="006B3028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7FAC8E5D" wp14:editId="19DE7881">
                  <wp:extent cx="5810250" cy="2038350"/>
                  <wp:effectExtent l="0" t="0" r="0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0" cy="203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B3028" w:rsidTr="006B3028">
        <w:tc>
          <w:tcPr>
            <w:tcW w:w="562" w:type="dxa"/>
          </w:tcPr>
          <w:p w:rsidR="006B3028" w:rsidRDefault="006B3028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228" w:type="dxa"/>
          </w:tcPr>
          <w:p w:rsidR="006B3028" w:rsidRDefault="006B3028" w:rsidP="00E348D3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5021B86" wp14:editId="4CE6B700">
                  <wp:extent cx="5772150" cy="2352675"/>
                  <wp:effectExtent l="0" t="0" r="0" b="9525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2150" cy="2352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028" w:rsidRDefault="006B3028" w:rsidP="00E348D3">
            <w:pPr>
              <w:widowControl w:val="0"/>
              <w:autoSpaceDE w:val="0"/>
              <w:autoSpaceDN w:val="0"/>
              <w:adjustRightInd w:val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C6E958E" wp14:editId="696C5A2D">
                  <wp:extent cx="5734050" cy="3190875"/>
                  <wp:effectExtent l="0" t="0" r="0" b="9525"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050" cy="319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B3028" w:rsidRDefault="006B3028" w:rsidP="006B30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  <w:r w:rsidRPr="006B3028">
              <w:rPr>
                <w:b/>
                <w:noProof/>
              </w:rPr>
              <w:t>(Total 9 marks)</w:t>
            </w:r>
          </w:p>
          <w:p w:rsidR="006B3028" w:rsidRPr="006B3028" w:rsidRDefault="006B3028" w:rsidP="006B3028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noProof/>
              </w:rPr>
            </w:pPr>
          </w:p>
        </w:tc>
      </w:tr>
    </w:tbl>
    <w:p w:rsidR="00E348D3" w:rsidRDefault="004360E7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6</w:t>
      </w:r>
      <w:r w:rsidR="00E348D3">
        <w:rPr>
          <w:rFonts w:ascii="Arial" w:hAnsi="Arial" w:cs="Arial"/>
          <w:b/>
          <w:bCs/>
          <w:lang w:val="en-US"/>
        </w:rPr>
        <w:t>.</w:t>
      </w:r>
      <w:r w:rsidR="00E348D3">
        <w:rPr>
          <w:rFonts w:ascii="Arial" w:hAnsi="Arial" w:cs="Arial"/>
          <w:b/>
          <w:bCs/>
          <w:lang w:val="en-US"/>
        </w:rPr>
        <w:tab/>
      </w:r>
      <w:r w:rsidR="00E348D3">
        <w:rPr>
          <w:rFonts w:ascii="Arial" w:hAnsi="Arial" w:cs="Arial"/>
          <w:lang w:val="en-US"/>
        </w:rPr>
        <w:t xml:space="preserve">A solution of chlorine in water is acidic. Swimming pool managers maintain pool water at a constant pH by using a buffer. They do so by adding sodium </w:t>
      </w:r>
      <w:proofErr w:type="spellStart"/>
      <w:r w:rsidR="00E348D3">
        <w:rPr>
          <w:rFonts w:ascii="Arial" w:hAnsi="Arial" w:cs="Arial"/>
          <w:lang w:val="en-US"/>
        </w:rPr>
        <w:t>hydrogencarbonate</w:t>
      </w:r>
      <w:proofErr w:type="spellEnd"/>
      <w:r w:rsidR="00E348D3">
        <w:rPr>
          <w:rFonts w:ascii="Arial" w:hAnsi="Arial" w:cs="Arial"/>
          <w:lang w:val="en-US"/>
        </w:rPr>
        <w:t xml:space="preserve"> and sodium carbonate.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(a)     Hydrogen carbonate ions (HCO</w:t>
      </w:r>
      <w:r>
        <w:rPr>
          <w:rFonts w:ascii="Arial" w:hAnsi="Arial" w:cs="Arial"/>
          <w:sz w:val="20"/>
          <w:szCs w:val="20"/>
          <w:vertAlign w:val="subscript"/>
          <w:lang w:val="en-US"/>
        </w:rPr>
        <w:t>3</w:t>
      </w:r>
      <w:r>
        <w:rPr>
          <w:rFonts w:ascii="Arial" w:hAnsi="Arial" w:cs="Arial"/>
          <w:sz w:val="20"/>
          <w:szCs w:val="20"/>
          <w:vertAlign w:val="superscript"/>
          <w:lang w:val="en-US"/>
        </w:rPr>
        <w:t>−</w:t>
      </w:r>
      <w:r>
        <w:rPr>
          <w:rFonts w:ascii="Arial" w:hAnsi="Arial" w:cs="Arial"/>
          <w:lang w:val="en-US"/>
        </w:rPr>
        <w:t>) act as a weak acid in aqueous solution. Write an equation for this equilibrium.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(1)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br/>
      </w:r>
      <w:r>
        <w:rPr>
          <w:rFonts w:ascii="Arial" w:hAnsi="Arial" w:cs="Arial"/>
          <w:b/>
          <w:bCs/>
          <w:sz w:val="20"/>
          <w:szCs w:val="20"/>
          <w:lang w:val="en-US"/>
        </w:rPr>
        <w:br/>
      </w:r>
    </w:p>
    <w:p w:rsidR="006B3028" w:rsidRDefault="006B3028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(b)     Use the equation in part (a) to explain how a solution containing sodium </w:t>
      </w:r>
      <w:proofErr w:type="spellStart"/>
      <w:r>
        <w:rPr>
          <w:rFonts w:ascii="Arial" w:hAnsi="Arial" w:cs="Arial"/>
          <w:lang w:val="en-US"/>
        </w:rPr>
        <w:t>hydrogencarbonate</w:t>
      </w:r>
      <w:proofErr w:type="spellEnd"/>
      <w:r>
        <w:rPr>
          <w:rFonts w:ascii="Arial" w:hAnsi="Arial" w:cs="Arial"/>
          <w:lang w:val="en-US"/>
        </w:rPr>
        <w:t xml:space="preserve"> and sodium carbonate can act as a buffer when small amounts of acid or small amounts of alkali are added.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4 marks)</w:t>
      </w:r>
    </w:p>
    <w:p w:rsidR="006B3028" w:rsidRDefault="006B3028">
      <w:pPr>
        <w:rPr>
          <w:rFonts w:ascii="Arial" w:hAnsi="Arial" w:cs="Arial"/>
          <w:b/>
          <w:bCs/>
          <w:lang w:val="en-US"/>
        </w:rPr>
      </w:pPr>
    </w:p>
    <w:p w:rsidR="00E348D3" w:rsidRDefault="004360E7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7</w:t>
      </w:r>
      <w:r w:rsidR="00E348D3">
        <w:rPr>
          <w:rFonts w:ascii="Arial" w:hAnsi="Arial" w:cs="Arial"/>
          <w:b/>
          <w:bCs/>
          <w:lang w:val="en-US"/>
        </w:rPr>
        <w:t>.</w:t>
      </w:r>
      <w:r w:rsidR="00E348D3">
        <w:rPr>
          <w:rFonts w:ascii="Arial" w:hAnsi="Arial" w:cs="Arial"/>
          <w:lang w:val="en-US"/>
        </w:rPr>
        <w:t>          Indicators and pH curves can be used to determine the end point in a titration.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(a)     The pH curves labelled </w:t>
      </w:r>
      <w:r>
        <w:rPr>
          <w:rFonts w:ascii="Arial" w:hAnsi="Arial" w:cs="Arial"/>
          <w:b/>
          <w:bCs/>
          <w:lang w:val="en-US"/>
        </w:rPr>
        <w:t xml:space="preserve">J, K, L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M </w:t>
      </w:r>
      <w:r>
        <w:rPr>
          <w:rFonts w:ascii="Arial" w:hAnsi="Arial" w:cs="Arial"/>
          <w:lang w:val="en-US"/>
        </w:rPr>
        <w:t xml:space="preserve">for combinations of different acids and bases are shown below. All solutions have a concentration of 0.1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>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4819650" cy="4438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443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4DC7" w:rsidRDefault="00834DC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(i)      Select from </w:t>
      </w:r>
      <w:r>
        <w:rPr>
          <w:rFonts w:ascii="Arial" w:hAnsi="Arial" w:cs="Arial"/>
          <w:b/>
          <w:bCs/>
          <w:lang w:val="en-US"/>
        </w:rPr>
        <w:t>J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b/>
          <w:bCs/>
          <w:lang w:val="en-US"/>
        </w:rPr>
        <w:t xml:space="preserve">L </w:t>
      </w:r>
      <w:r>
        <w:rPr>
          <w:rFonts w:ascii="Arial" w:hAnsi="Arial" w:cs="Arial"/>
          <w:lang w:val="en-US"/>
        </w:rPr>
        <w:t xml:space="preserve">and </w:t>
      </w:r>
      <w:r>
        <w:rPr>
          <w:rFonts w:ascii="Arial" w:hAnsi="Arial" w:cs="Arial"/>
          <w:b/>
          <w:bCs/>
          <w:lang w:val="en-US"/>
        </w:rPr>
        <w:t xml:space="preserve">M </w:t>
      </w:r>
      <w:r>
        <w:rPr>
          <w:rFonts w:ascii="Arial" w:hAnsi="Arial" w:cs="Arial"/>
          <w:lang w:val="en-US"/>
        </w:rPr>
        <w:t>the curve produced by the addition of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ammonia to 25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hydrochloric acid 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ethanoic acid to 25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sodium hydroxide 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sodium hydroxide to 25 cm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3</w:t>
      </w:r>
      <w:r>
        <w:rPr>
          <w:rFonts w:ascii="Arial" w:hAnsi="Arial" w:cs="Arial"/>
          <w:lang w:val="en-US"/>
        </w:rPr>
        <w:t xml:space="preserve"> of hydrochloric acid 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A table of acid–base indicators and the pH ranges over which they change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is shown below.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tbl>
      <w:tblPr>
        <w:tblW w:w="0" w:type="auto"/>
        <w:tblInd w:w="180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5"/>
      </w:tblGrid>
      <w:tr w:rsidR="00E348D3" w:rsidTr="00834DC7">
        <w:tc>
          <w:tcPr>
            <w:tcW w:w="4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48D3" w:rsidRDefault="00E348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b/>
                <w:bCs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 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Indicator</w:t>
            </w:r>
            <w:r>
              <w:rPr>
                <w:rFonts w:ascii="Arial" w:hAnsi="Arial" w:cs="Arial"/>
                <w:lang w:val="en-US"/>
              </w:rPr>
              <w:t xml:space="preserve">                      </w:t>
            </w:r>
            <w:r>
              <w:rPr>
                <w:rFonts w:ascii="Arial" w:hAnsi="Arial" w:cs="Arial"/>
                <w:b/>
                <w:bCs/>
                <w:lang w:val="en-US"/>
              </w:rPr>
              <w:t>pH range</w:t>
            </w:r>
          </w:p>
        </w:tc>
      </w:tr>
      <w:tr w:rsidR="00E348D3" w:rsidTr="00834DC7">
        <w:tc>
          <w:tcPr>
            <w:tcW w:w="46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348D3" w:rsidRDefault="00E348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 Thymol blue                  1.2 – 2.8</w:t>
            </w:r>
          </w:p>
          <w:p w:rsidR="00E348D3" w:rsidRDefault="00E348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 Bromophenol blue        3.0 – 4.6</w:t>
            </w:r>
          </w:p>
          <w:p w:rsidR="00E348D3" w:rsidRDefault="00E348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 Methyl red                     4.2 – 6.3</w:t>
            </w:r>
          </w:p>
          <w:p w:rsidR="00E348D3" w:rsidRDefault="00E348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        </w:t>
            </w:r>
            <w:proofErr w:type="spellStart"/>
            <w:r>
              <w:rPr>
                <w:rFonts w:ascii="Arial" w:hAnsi="Arial" w:cs="Arial"/>
                <w:lang w:val="en-US"/>
              </w:rPr>
              <w:t>Cresolphthalein</w:t>
            </w:r>
            <w:proofErr w:type="spellEnd"/>
            <w:r>
              <w:rPr>
                <w:rFonts w:ascii="Arial" w:hAnsi="Arial" w:cs="Arial"/>
                <w:lang w:val="en-US"/>
              </w:rPr>
              <w:t>             8.2 – 9.8</w:t>
            </w:r>
          </w:p>
          <w:p w:rsidR="00E348D3" w:rsidRDefault="00E348D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        Thymolphthalein           9.3 – 10.5</w:t>
            </w:r>
          </w:p>
        </w:tc>
      </w:tr>
    </w:tbl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Select from the list above an indicator which could be used in the titration which produces curve </w:t>
      </w:r>
      <w:r>
        <w:rPr>
          <w:rFonts w:ascii="Arial" w:hAnsi="Arial" w:cs="Arial"/>
          <w:b/>
          <w:bCs/>
          <w:lang w:val="en-US"/>
        </w:rPr>
        <w:t xml:space="preserve">J </w:t>
      </w:r>
      <w:r>
        <w:rPr>
          <w:rFonts w:ascii="Arial" w:hAnsi="Arial" w:cs="Arial"/>
          <w:lang w:val="en-US"/>
        </w:rPr>
        <w:t xml:space="preserve">but not in the titration which produces curve </w:t>
      </w:r>
      <w:r>
        <w:rPr>
          <w:rFonts w:ascii="Arial" w:hAnsi="Arial" w:cs="Arial"/>
          <w:b/>
          <w:bCs/>
          <w:lang w:val="en-US"/>
        </w:rPr>
        <w:t>K</w:t>
      </w:r>
      <w:r>
        <w:rPr>
          <w:rFonts w:ascii="Arial" w:hAnsi="Arial" w:cs="Arial"/>
          <w:lang w:val="en-US"/>
        </w:rPr>
        <w:t>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 The acid dissociation constant, </w:t>
      </w: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>, for the weak acid, ethanoic acid, has a value of 1.74 × 10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–5</w:t>
      </w:r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at 25 °C.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firstLine="1418"/>
        <w:rPr>
          <w:rFonts w:ascii="Arial" w:hAnsi="Arial" w:cs="Arial"/>
          <w:lang w:val="en-US"/>
        </w:rPr>
      </w:pPr>
      <w:r>
        <w:rPr>
          <w:rFonts w:ascii="Arial" w:hAnsi="Arial" w:cs="Arial"/>
          <w:i/>
          <w:iCs/>
          <w:lang w:val="en-US"/>
        </w:rPr>
        <w:t>K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a</w:t>
      </w:r>
      <w:r>
        <w:rPr>
          <w:rFonts w:ascii="Arial" w:hAnsi="Arial" w:cs="Arial"/>
          <w:lang w:val="en-US"/>
        </w:rPr>
        <w:t xml:space="preserve"> = </w:t>
      </w:r>
      <w:r>
        <w:rPr>
          <w:rFonts w:ascii="Arial" w:hAnsi="Arial" w:cs="Arial"/>
          <w:noProof/>
        </w:rPr>
        <w:drawing>
          <wp:inline distT="0" distB="0" distL="0" distR="0">
            <wp:extent cx="1066800" cy="4286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Write an expression for the term </w:t>
      </w:r>
      <w:proofErr w:type="spellStart"/>
      <w:r>
        <w:rPr>
          <w:rFonts w:ascii="Arial" w:hAnsi="Arial" w:cs="Arial"/>
          <w:lang w:val="en-US"/>
        </w:rPr>
        <w:t>pH.</w:t>
      </w:r>
      <w:proofErr w:type="spellEnd"/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Calculate the pH of a 0.15 </w:t>
      </w:r>
      <w:proofErr w:type="spellStart"/>
      <w:r>
        <w:rPr>
          <w:rFonts w:ascii="Arial" w:hAnsi="Arial" w:cs="Arial"/>
          <w:lang w:val="en-US"/>
        </w:rPr>
        <w:t>mol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dm</w:t>
      </w:r>
      <w:proofErr w:type="spellEnd"/>
      <w:r>
        <w:rPr>
          <w:rFonts w:ascii="Arial" w:hAnsi="Arial" w:cs="Arial"/>
          <w:sz w:val="14"/>
          <w:szCs w:val="14"/>
          <w:vertAlign w:val="superscript"/>
          <w:lang w:val="en-US"/>
        </w:rPr>
        <w:t>–3</w:t>
      </w:r>
      <w:r>
        <w:rPr>
          <w:rFonts w:ascii="Arial" w:hAnsi="Arial" w:cs="Arial"/>
          <w:lang w:val="en-US"/>
        </w:rPr>
        <w:t xml:space="preserve"> solution of ethanoic acid. Give your answer to </w:t>
      </w:r>
      <w:r>
        <w:rPr>
          <w:rFonts w:ascii="Arial" w:hAnsi="Arial" w:cs="Arial"/>
          <w:lang w:val="en-US"/>
        </w:rPr>
        <w:br/>
        <w:t>2 decimal places.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bookmarkStart w:id="0" w:name="OLE_LINK1"/>
      <w:bookmarkEnd w:id="0"/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8 marks)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567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 </w:t>
      </w:r>
    </w:p>
    <w:p w:rsidR="00834DC7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228"/>
      </w:tblGrid>
      <w:tr w:rsidR="00834DC7" w:rsidTr="00834DC7">
        <w:tc>
          <w:tcPr>
            <w:tcW w:w="562" w:type="dxa"/>
          </w:tcPr>
          <w:p w:rsidR="00834DC7" w:rsidRPr="00834DC7" w:rsidRDefault="004360E7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8</w:t>
            </w:r>
            <w:r w:rsidR="00834DC7" w:rsidRPr="00834DC7">
              <w:rPr>
                <w:rFonts w:ascii="Arial" w:hAnsi="Arial" w:cs="Arial"/>
                <w:b/>
                <w:lang w:val="en-US"/>
              </w:rPr>
              <w:t>.</w:t>
            </w:r>
          </w:p>
        </w:tc>
        <w:tc>
          <w:tcPr>
            <w:tcW w:w="10228" w:type="dxa"/>
          </w:tcPr>
          <w:p w:rsidR="00834DC7" w:rsidRDefault="00834DC7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5FA2EE" wp14:editId="49FA5801">
                  <wp:extent cx="5781675" cy="4314825"/>
                  <wp:effectExtent l="0" t="0" r="9525" b="9525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81675" cy="431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C7" w:rsidRDefault="00834DC7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2229EA13" wp14:editId="3D059B91">
                  <wp:extent cx="5762625" cy="714375"/>
                  <wp:effectExtent l="0" t="0" r="9525" b="952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34DC7" w:rsidRDefault="00834DC7">
      <w:r>
        <w:br w:type="page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10228"/>
      </w:tblGrid>
      <w:tr w:rsidR="00834DC7" w:rsidTr="00834DC7">
        <w:tc>
          <w:tcPr>
            <w:tcW w:w="562" w:type="dxa"/>
          </w:tcPr>
          <w:p w:rsidR="00834DC7" w:rsidRDefault="00834DC7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228" w:type="dxa"/>
          </w:tcPr>
          <w:p w:rsidR="00834DC7" w:rsidRDefault="00834DC7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08EEEF2F" wp14:editId="515AA3D5">
                  <wp:extent cx="5648325" cy="3188872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3036" cy="31915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C7" w:rsidRDefault="00834DC7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669BACD4" wp14:editId="7D4223D8">
                  <wp:extent cx="5695950" cy="1960901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96694" cy="19611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4DC7" w:rsidTr="00834DC7">
        <w:tc>
          <w:tcPr>
            <w:tcW w:w="562" w:type="dxa"/>
          </w:tcPr>
          <w:p w:rsidR="00834DC7" w:rsidRDefault="00834DC7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</w:p>
        </w:tc>
        <w:tc>
          <w:tcPr>
            <w:tcW w:w="10228" w:type="dxa"/>
          </w:tcPr>
          <w:p w:rsidR="00834DC7" w:rsidRDefault="00834DC7" w:rsidP="00E348D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5FBF3206" wp14:editId="44EF007F">
                  <wp:extent cx="5753100" cy="3800475"/>
                  <wp:effectExtent l="0" t="0" r="0" b="952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53100" cy="3800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34DC7" w:rsidRPr="00834DC7" w:rsidRDefault="00834DC7" w:rsidP="00834DC7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lang w:val="en-US"/>
              </w:rPr>
            </w:pPr>
            <w:r w:rsidRPr="00834DC7">
              <w:rPr>
                <w:rFonts w:ascii="Arial" w:hAnsi="Arial" w:cs="Arial"/>
                <w:b/>
                <w:lang w:val="en-US"/>
              </w:rPr>
              <w:t>(Total 17 marks)</w:t>
            </w:r>
          </w:p>
        </w:tc>
      </w:tr>
    </w:tbl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E348D3" w:rsidRDefault="00834DC7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9</w:t>
      </w:r>
      <w:r w:rsidR="00E348D3">
        <w:rPr>
          <w:rFonts w:ascii="Arial" w:hAnsi="Arial" w:cs="Arial"/>
          <w:b/>
          <w:bCs/>
          <w:lang w:val="en-US"/>
        </w:rPr>
        <w:t>.</w:t>
      </w:r>
      <w:r w:rsidR="00E348D3">
        <w:rPr>
          <w:rFonts w:ascii="Arial" w:hAnsi="Arial" w:cs="Arial"/>
          <w:lang w:val="en-US"/>
        </w:rPr>
        <w:t>          (a)     State what is meant by each of the following terms.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</w:t>
      </w:r>
      <w:r>
        <w:rPr>
          <w:rFonts w:ascii="Arial" w:hAnsi="Arial" w:cs="Arial"/>
          <w:i/>
          <w:iCs/>
          <w:lang w:val="en-US"/>
        </w:rPr>
        <w:t>Ligand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...................................................................................…………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</w:t>
      </w:r>
      <w:r>
        <w:rPr>
          <w:rFonts w:ascii="Arial" w:hAnsi="Arial" w:cs="Arial"/>
          <w:i/>
          <w:iCs/>
          <w:lang w:val="en-US"/>
        </w:rPr>
        <w:t>Complex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i/>
          <w:iCs/>
          <w:lang w:val="en-US"/>
        </w:rPr>
        <w:t>ion</w:t>
      </w:r>
      <w:r>
        <w:rPr>
          <w:rFonts w:ascii="Arial" w:hAnsi="Arial" w:cs="Arial"/>
          <w:lang w:val="en-US"/>
        </w:rPr>
        <w:t xml:space="preserve"> 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</w:t>
      </w:r>
      <w:r>
        <w:rPr>
          <w:rFonts w:ascii="Arial" w:hAnsi="Arial" w:cs="Arial"/>
          <w:i/>
          <w:iCs/>
          <w:lang w:val="en-US"/>
        </w:rPr>
        <w:t>Co-ordination number</w:t>
      </w:r>
      <w:r>
        <w:rPr>
          <w:rFonts w:ascii="Arial" w:hAnsi="Arial" w:cs="Arial"/>
          <w:lang w:val="en-US"/>
        </w:rPr>
        <w:t xml:space="preserve"> ...........................................................…………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(3)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(b)     Using complex ions formed by Co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2+</w:t>
      </w:r>
      <w:r>
        <w:rPr>
          <w:rFonts w:ascii="Arial" w:hAnsi="Arial" w:cs="Arial"/>
          <w:lang w:val="en-US"/>
        </w:rPr>
        <w:t xml:space="preserve"> with ligands selected from 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2</w:t>
      </w:r>
      <w:r>
        <w:rPr>
          <w:rFonts w:ascii="Arial" w:hAnsi="Arial" w:cs="Arial"/>
          <w:lang w:val="en-US"/>
        </w:rPr>
        <w:t>O, NH</w:t>
      </w:r>
      <w:r>
        <w:rPr>
          <w:rFonts w:ascii="Arial" w:hAnsi="Arial" w:cs="Arial"/>
          <w:sz w:val="14"/>
          <w:szCs w:val="14"/>
          <w:vertAlign w:val="subscript"/>
          <w:lang w:val="en-US"/>
        </w:rPr>
        <w:t>3</w:t>
      </w:r>
      <w:r>
        <w:rPr>
          <w:rFonts w:ascii="Arial" w:hAnsi="Arial" w:cs="Arial"/>
          <w:lang w:val="en-US"/>
        </w:rPr>
        <w:t>, Cl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–</w:t>
      </w:r>
      <w:r>
        <w:rPr>
          <w:rFonts w:ascii="Arial" w:hAnsi="Arial" w:cs="Arial"/>
          <w:lang w:val="en-US"/>
        </w:rPr>
        <w:t xml:space="preserve">, </w:t>
      </w:r>
      <w:r>
        <w:rPr>
          <w:rFonts w:ascii="Arial" w:hAnsi="Arial" w:cs="Arial"/>
          <w:noProof/>
        </w:rPr>
        <w:drawing>
          <wp:inline distT="0" distB="0" distL="0" distR="0">
            <wp:extent cx="447675" cy="2286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> and EDTA</w:t>
      </w:r>
      <w:r>
        <w:rPr>
          <w:rFonts w:ascii="Arial" w:hAnsi="Arial" w:cs="Arial"/>
          <w:sz w:val="14"/>
          <w:szCs w:val="14"/>
          <w:vertAlign w:val="superscript"/>
          <w:lang w:val="en-US"/>
        </w:rPr>
        <w:t>4–</w:t>
      </w:r>
      <w:r>
        <w:rPr>
          <w:rFonts w:ascii="Arial" w:hAnsi="Arial" w:cs="Arial"/>
          <w:lang w:val="en-US"/>
        </w:rPr>
        <w:t>, give an equation for each of the following.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(i)      A ligand substitution reaction which occurs with no change in either the co-ordination number or in the charge on the complex ion.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A ligand substitution reaction which occurs with both a change in the co-ordination number and in the charge on the complex ion.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(iii)     A ligand substitution reaction which occurs with no change in the co-ordination number but a change in the charge on the complex ion.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(iv)    A ligand substitution reaction in which there is a large change in entropy.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(8)</w:t>
      </w:r>
    </w:p>
    <w:p w:rsidR="004360E7" w:rsidRDefault="004360E7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lastRenderedPageBreak/>
        <w:t xml:space="preserve">(c)     An aqueous solution of iron(II) </w:t>
      </w:r>
      <w:proofErr w:type="spellStart"/>
      <w:r>
        <w:rPr>
          <w:rFonts w:ascii="Arial" w:hAnsi="Arial" w:cs="Arial"/>
          <w:lang w:val="en-US"/>
        </w:rPr>
        <w:t>sulphate</w:t>
      </w:r>
      <w:proofErr w:type="spellEnd"/>
      <w:r>
        <w:rPr>
          <w:rFonts w:ascii="Arial" w:hAnsi="Arial" w:cs="Arial"/>
          <w:lang w:val="en-US"/>
        </w:rPr>
        <w:t xml:space="preserve"> is a pale-green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>. When aqueous sodium hydroxide is added to this solution a green precipitate is formed. On standing in air, the green precipitate slowly turns brown.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Give the formula of the complex ion responsible for the pale-green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>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(ii)     Give the formula of the green precipitate.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(iii)     Suggest an explanation for the change in the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of the precipitate.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(4)</w:t>
      </w:r>
    </w:p>
    <w:p w:rsidR="00E348D3" w:rsidRDefault="00E348D3" w:rsidP="00E348D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15 marks)</w:t>
      </w:r>
    </w:p>
    <w:p w:rsidR="00834DC7" w:rsidRDefault="00834DC7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b/>
          <w:bCs/>
          <w:lang w:val="en-US"/>
        </w:rPr>
      </w:pPr>
    </w:p>
    <w:p w:rsidR="001129CD" w:rsidRDefault="00834DC7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1134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10</w:t>
      </w:r>
      <w:r w:rsidR="001129CD">
        <w:rPr>
          <w:rFonts w:ascii="Arial" w:hAnsi="Arial" w:cs="Arial"/>
          <w:b/>
          <w:bCs/>
          <w:lang w:val="en-US"/>
        </w:rPr>
        <w:t>.</w:t>
      </w:r>
      <w:r w:rsidR="001129CD">
        <w:rPr>
          <w:rFonts w:ascii="Arial" w:hAnsi="Arial" w:cs="Arial"/>
          <w:lang w:val="en-US"/>
        </w:rPr>
        <w:t xml:space="preserve">     (a)     State the electron configuration of a </w:t>
      </w:r>
      <w:proofErr w:type="spellStart"/>
      <w:r w:rsidR="001129CD">
        <w:rPr>
          <w:rFonts w:ascii="Arial" w:hAnsi="Arial" w:cs="Arial"/>
          <w:lang w:val="en-US"/>
        </w:rPr>
        <w:t>Ti</w:t>
      </w:r>
      <w:proofErr w:type="spellEnd"/>
      <w:r w:rsidR="001129CD">
        <w:rPr>
          <w:rFonts w:ascii="Arial" w:hAnsi="Arial" w:cs="Arial"/>
          <w:lang w:val="en-US"/>
        </w:rPr>
        <w:t xml:space="preserve">(III) ion and that of a </w:t>
      </w:r>
      <w:proofErr w:type="spellStart"/>
      <w:r w:rsidR="001129CD">
        <w:rPr>
          <w:rFonts w:ascii="Arial" w:hAnsi="Arial" w:cs="Arial"/>
          <w:lang w:val="en-US"/>
        </w:rPr>
        <w:t>Ti</w:t>
      </w:r>
      <w:proofErr w:type="spellEnd"/>
      <w:r w:rsidR="001129CD">
        <w:rPr>
          <w:rFonts w:ascii="Arial" w:hAnsi="Arial" w:cs="Arial"/>
          <w:lang w:val="en-US"/>
        </w:rPr>
        <w:t xml:space="preserve">(IV) ion. Explain, in terms of electron configurations and electron transitions, why </w:t>
      </w:r>
      <w:proofErr w:type="spellStart"/>
      <w:r w:rsidR="001129CD">
        <w:rPr>
          <w:rFonts w:ascii="Arial" w:hAnsi="Arial" w:cs="Arial"/>
          <w:lang w:val="en-US"/>
        </w:rPr>
        <w:t>Ti</w:t>
      </w:r>
      <w:proofErr w:type="spellEnd"/>
      <w:r w:rsidR="001129CD">
        <w:rPr>
          <w:rFonts w:ascii="Arial" w:hAnsi="Arial" w:cs="Arial"/>
          <w:lang w:val="en-US"/>
        </w:rPr>
        <w:t xml:space="preserve">(III) compounds are usually </w:t>
      </w:r>
      <w:proofErr w:type="spellStart"/>
      <w:r w:rsidR="001129CD">
        <w:rPr>
          <w:rFonts w:ascii="Arial" w:hAnsi="Arial" w:cs="Arial"/>
          <w:lang w:val="en-US"/>
        </w:rPr>
        <w:t>coloured</w:t>
      </w:r>
      <w:proofErr w:type="spellEnd"/>
      <w:r w:rsidR="001129CD">
        <w:rPr>
          <w:rFonts w:ascii="Arial" w:hAnsi="Arial" w:cs="Arial"/>
          <w:lang w:val="en-US"/>
        </w:rPr>
        <w:t xml:space="preserve"> but </w:t>
      </w:r>
      <w:proofErr w:type="spellStart"/>
      <w:r w:rsidR="001129CD">
        <w:rPr>
          <w:rFonts w:ascii="Arial" w:hAnsi="Arial" w:cs="Arial"/>
          <w:lang w:val="en-US"/>
        </w:rPr>
        <w:t>Ti</w:t>
      </w:r>
      <w:proofErr w:type="spellEnd"/>
      <w:r w:rsidR="001129CD">
        <w:rPr>
          <w:rFonts w:ascii="Arial" w:hAnsi="Arial" w:cs="Arial"/>
          <w:lang w:val="en-US"/>
        </w:rPr>
        <w:t xml:space="preserve">(IV) compounds are </w:t>
      </w:r>
      <w:proofErr w:type="spellStart"/>
      <w:r w:rsidR="001129CD">
        <w:rPr>
          <w:rFonts w:ascii="Arial" w:hAnsi="Arial" w:cs="Arial"/>
          <w:lang w:val="en-US"/>
        </w:rPr>
        <w:t>colourless</w:t>
      </w:r>
      <w:proofErr w:type="spellEnd"/>
      <w:r w:rsidR="001129CD">
        <w:rPr>
          <w:rFonts w:ascii="Arial" w:hAnsi="Arial" w:cs="Arial"/>
          <w:lang w:val="en-US"/>
        </w:rPr>
        <w:t>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129CD" w:rsidRDefault="004360E7" w:rsidP="00112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129CD"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(b)    Transition metal ions and their complexes can often be identified from their </w:t>
      </w:r>
      <w:proofErr w:type="spellStart"/>
      <w:r>
        <w:rPr>
          <w:rFonts w:ascii="Arial" w:hAnsi="Arial" w:cs="Arial"/>
          <w:lang w:val="en-US"/>
        </w:rPr>
        <w:t>colours</w:t>
      </w:r>
      <w:proofErr w:type="spellEnd"/>
      <w:r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br/>
        <w:t xml:space="preserve">For each of the following, identify a complex ion responsible for the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of the aqueous solution. Restrict your answers to complexes formed from the elements Fe, Co and Cu.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deep blue solution formed in an excess of concentrated aqueous ammonia.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lang w:val="en-US"/>
        </w:rPr>
        <w:t>A</w:t>
      </w:r>
      <w:r>
        <w:rPr>
          <w:rFonts w:ascii="Arial" w:hAnsi="Arial" w:cs="Arial"/>
          <w:lang w:val="en-US"/>
        </w:rPr>
        <w:t xml:space="preserve"> yellow–green solution formed in an excess of concentrated hydrochloric acid.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......................................................................................................................</w:t>
      </w:r>
    </w:p>
    <w:p w:rsidR="001129CD" w:rsidRDefault="004360E7" w:rsidP="00112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 xml:space="preserve"> </w:t>
      </w:r>
      <w:r w:rsidR="001129CD"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134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br w:type="page"/>
      </w:r>
      <w:r>
        <w:rPr>
          <w:rFonts w:ascii="Arial" w:hAnsi="Arial" w:cs="Arial"/>
          <w:lang w:val="en-US"/>
        </w:rPr>
        <w:lastRenderedPageBreak/>
        <w:t xml:space="preserve">(c)     An experiment is carried out to investigate the rate of the </w:t>
      </w:r>
      <w:proofErr w:type="spellStart"/>
      <w:r>
        <w:rPr>
          <w:rFonts w:ascii="Arial" w:hAnsi="Arial" w:cs="Arial"/>
          <w:lang w:val="en-US"/>
        </w:rPr>
        <w:t>autocatalysed</w:t>
      </w:r>
      <w:proofErr w:type="spellEnd"/>
      <w:r>
        <w:rPr>
          <w:rFonts w:ascii="Arial" w:hAnsi="Arial" w:cs="Arial"/>
          <w:lang w:val="en-US"/>
        </w:rPr>
        <w:t xml:space="preserve"> reaction between aqueous potassium </w:t>
      </w:r>
      <w:proofErr w:type="spellStart"/>
      <w:r>
        <w:rPr>
          <w:rFonts w:ascii="Arial" w:hAnsi="Arial" w:cs="Arial"/>
          <w:lang w:val="en-US"/>
        </w:rPr>
        <w:t>manganate</w:t>
      </w:r>
      <w:proofErr w:type="spellEnd"/>
      <w:r>
        <w:rPr>
          <w:rFonts w:ascii="Arial" w:hAnsi="Arial" w:cs="Arial"/>
          <w:lang w:val="en-US"/>
        </w:rPr>
        <w:t xml:space="preserve">(VII) and </w:t>
      </w:r>
      <w:proofErr w:type="spellStart"/>
      <w:r>
        <w:rPr>
          <w:rFonts w:ascii="Arial" w:hAnsi="Arial" w:cs="Arial"/>
          <w:lang w:val="en-US"/>
        </w:rPr>
        <w:t>ethanedioate</w:t>
      </w:r>
      <w:proofErr w:type="spellEnd"/>
      <w:r>
        <w:rPr>
          <w:rFonts w:ascii="Arial" w:hAnsi="Arial" w:cs="Arial"/>
          <w:lang w:val="en-US"/>
        </w:rPr>
        <w:t xml:space="preserve"> ions in an excess of dilute sulfuric acid. When these reagents are mixed together, the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of the reaction mixture gradually fades. The concentration of the </w:t>
      </w:r>
      <w:proofErr w:type="spellStart"/>
      <w:r>
        <w:rPr>
          <w:rFonts w:ascii="Arial" w:hAnsi="Arial" w:cs="Arial"/>
          <w:lang w:val="en-US"/>
        </w:rPr>
        <w:t>manganate</w:t>
      </w:r>
      <w:proofErr w:type="spellEnd"/>
      <w:r>
        <w:rPr>
          <w:rFonts w:ascii="Arial" w:hAnsi="Arial" w:cs="Arial"/>
          <w:lang w:val="en-US"/>
        </w:rPr>
        <w:t>(VII) ions is recorded at different times using a spectrometer. The temperature of the reaction mixture is constant.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(i)      Give </w:t>
      </w:r>
      <w:r>
        <w:rPr>
          <w:rFonts w:ascii="Arial" w:hAnsi="Arial" w:cs="Arial"/>
          <w:b/>
          <w:bCs/>
          <w:lang w:val="en-US"/>
        </w:rPr>
        <w:t xml:space="preserve">two </w:t>
      </w:r>
      <w:r>
        <w:rPr>
          <w:rFonts w:ascii="Arial" w:hAnsi="Arial" w:cs="Arial"/>
          <w:lang w:val="en-US"/>
        </w:rPr>
        <w:t xml:space="preserve">reasons why the use of a spectrometer is the most appropriate method for measuring the concentration of the </w:t>
      </w:r>
      <w:proofErr w:type="spellStart"/>
      <w:r>
        <w:rPr>
          <w:rFonts w:ascii="Arial" w:hAnsi="Arial" w:cs="Arial"/>
          <w:lang w:val="en-US"/>
        </w:rPr>
        <w:t>coloured</w:t>
      </w:r>
      <w:proofErr w:type="spellEnd"/>
      <w:r>
        <w:rPr>
          <w:rFonts w:ascii="Arial" w:hAnsi="Arial" w:cs="Arial"/>
          <w:lang w:val="en-US"/>
        </w:rPr>
        <w:t xml:space="preserve"> ions in this experiment.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(2)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1701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(ii)     Sketch a curve to show how you would expect the concentration of </w:t>
      </w:r>
      <w:proofErr w:type="spellStart"/>
      <w:r>
        <w:rPr>
          <w:rFonts w:ascii="Arial" w:hAnsi="Arial" w:cs="Arial"/>
          <w:lang w:val="en-US"/>
        </w:rPr>
        <w:t>manganate</w:t>
      </w:r>
      <w:proofErr w:type="spellEnd"/>
      <w:r>
        <w:rPr>
          <w:rFonts w:ascii="Arial" w:hAnsi="Arial" w:cs="Arial"/>
          <w:lang w:val="en-US"/>
        </w:rPr>
        <w:t xml:space="preserve">(VII) ions to change with time until the </w:t>
      </w:r>
      <w:proofErr w:type="spellStart"/>
      <w:r>
        <w:rPr>
          <w:rFonts w:ascii="Arial" w:hAnsi="Arial" w:cs="Arial"/>
          <w:lang w:val="en-US"/>
        </w:rPr>
        <w:t>colour</w:t>
      </w:r>
      <w:proofErr w:type="spellEnd"/>
      <w:r>
        <w:rPr>
          <w:rFonts w:ascii="Arial" w:hAnsi="Arial" w:cs="Arial"/>
          <w:lang w:val="en-US"/>
        </w:rPr>
        <w:t xml:space="preserve"> has faded because the concentration has reached a very low value. Explain the shape of the curve.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before="240" w:after="0" w:line="240" w:lineRule="auto"/>
        <w:ind w:left="2268" w:right="567" w:hanging="567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.............................................................................................................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(5)</w:t>
      </w:r>
    </w:p>
    <w:p w:rsidR="001129CD" w:rsidRDefault="001129CD" w:rsidP="001129C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sz w:val="20"/>
          <w:szCs w:val="20"/>
          <w:lang w:val="en-US"/>
        </w:rPr>
      </w:pPr>
      <w:r>
        <w:rPr>
          <w:rFonts w:ascii="Arial" w:hAnsi="Arial" w:cs="Arial"/>
          <w:b/>
          <w:bCs/>
          <w:sz w:val="20"/>
          <w:szCs w:val="20"/>
          <w:lang w:val="en-US"/>
        </w:rPr>
        <w:t>(Total 14 marks)</w:t>
      </w:r>
      <w:bookmarkStart w:id="1" w:name="_GoBack"/>
      <w:bookmarkEnd w:id="1"/>
    </w:p>
    <w:p w:rsidR="000F4475" w:rsidRDefault="004360E7"/>
    <w:sectPr w:rsidR="000F4475" w:rsidSect="00E348D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9CD"/>
    <w:rsid w:val="001129CD"/>
    <w:rsid w:val="00426196"/>
    <w:rsid w:val="004360E7"/>
    <w:rsid w:val="00594D4C"/>
    <w:rsid w:val="005C2E1C"/>
    <w:rsid w:val="006B3028"/>
    <w:rsid w:val="006E5138"/>
    <w:rsid w:val="00834DC7"/>
    <w:rsid w:val="00E34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F1F4B"/>
  <w15:chartTrackingRefBased/>
  <w15:docId w15:val="{47CEB169-0CEA-4F0A-801A-37C7CFE8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129CD"/>
    <w:rPr>
      <w:rFonts w:eastAsiaTheme="minorEastAsia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estion">
    <w:name w:val="question"/>
    <w:basedOn w:val="Normal"/>
    <w:uiPriority w:val="99"/>
    <w:rsid w:val="00E348D3"/>
    <w:pPr>
      <w:widowControl w:val="0"/>
      <w:autoSpaceDE w:val="0"/>
      <w:autoSpaceDN w:val="0"/>
      <w:adjustRightInd w:val="0"/>
      <w:spacing w:before="240" w:after="0" w:line="240" w:lineRule="auto"/>
      <w:ind w:left="567" w:right="567" w:hanging="567"/>
    </w:pPr>
    <w:rPr>
      <w:rFonts w:ascii="Arial" w:hAnsi="Arial" w:cs="Arial"/>
    </w:rPr>
  </w:style>
  <w:style w:type="table" w:styleId="TableGrid">
    <w:name w:val="Table Grid"/>
    <w:basedOn w:val="TableNormal"/>
    <w:uiPriority w:val="39"/>
    <w:rsid w:val="00E34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80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15</Pages>
  <Words>2104</Words>
  <Characters>11998</Characters>
  <Application>Microsoft Office Word</Application>
  <DocSecurity>0</DocSecurity>
  <Lines>99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Edwards-Stuart</dc:creator>
  <cp:keywords/>
  <dc:description/>
  <cp:lastModifiedBy>Luke Edwards-Stuart</cp:lastModifiedBy>
  <cp:revision>4</cp:revision>
  <dcterms:created xsi:type="dcterms:W3CDTF">2017-03-03T15:02:00Z</dcterms:created>
  <dcterms:modified xsi:type="dcterms:W3CDTF">2017-05-20T12:55:00Z</dcterms:modified>
</cp:coreProperties>
</file>