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5</w:t>
      </w: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BE3653" w:rsidTr="00BE365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……………………………………………………………..</w:t>
            </w:r>
          </w:p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BE3653" w:rsidTr="00BE365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653" w:rsidRDefault="00BE3653" w:rsidP="00BE365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BE3653" w:rsidRDefault="00BE3653" w:rsidP="00BE365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BE3653" w:rsidRDefault="00BE3653" w:rsidP="00BE3653">
      <w:pPr>
        <w:rPr>
          <w:b/>
        </w:rPr>
      </w:pPr>
    </w:p>
    <w:p w:rsidR="00BE3653" w:rsidRDefault="00BE3653" w:rsidP="00BE3653">
      <w:pPr>
        <w:rPr>
          <w:b/>
        </w:rPr>
      </w:pPr>
    </w:p>
    <w:p w:rsidR="00BE3653" w:rsidRDefault="00BE3653" w:rsidP="00BE3653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BE3653" w:rsidTr="00752A86">
        <w:tc>
          <w:tcPr>
            <w:tcW w:w="562" w:type="dxa"/>
          </w:tcPr>
          <w:p w:rsidR="00BE3653" w:rsidRDefault="00BE3653" w:rsidP="00DF50D1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228" w:type="dxa"/>
          </w:tcPr>
          <w:p w:rsidR="00BE3653" w:rsidRDefault="00BE3653" w:rsidP="00DF50D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6AAF574" wp14:editId="37971D70">
                  <wp:extent cx="546735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653" w:rsidRDefault="00BE3653" w:rsidP="00DF50D1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Default="00BE3653" w:rsidP="00BE3653">
            <w:pPr>
              <w:rPr>
                <w:b/>
              </w:rPr>
            </w:pPr>
          </w:p>
          <w:p w:rsidR="00BE3653" w:rsidRDefault="00BE3653" w:rsidP="00BE3653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BE3653" w:rsidRPr="00BE3653" w:rsidRDefault="00752A86" w:rsidP="00BE3653">
            <w:pPr>
              <w:jc w:val="right"/>
              <w:rPr>
                <w:b/>
              </w:rPr>
            </w:pPr>
            <w:r>
              <w:rPr>
                <w:b/>
              </w:rPr>
              <w:t xml:space="preserve">(Total </w:t>
            </w:r>
            <w:r w:rsidR="00BE3653" w:rsidRPr="00BE3653">
              <w:rPr>
                <w:b/>
              </w:rPr>
              <w:t>7</w:t>
            </w:r>
            <w:r>
              <w:rPr>
                <w:b/>
              </w:rPr>
              <w:t xml:space="preserve"> marks)</w:t>
            </w:r>
          </w:p>
          <w:p w:rsidR="00BE3653" w:rsidRPr="00BE3653" w:rsidRDefault="00BE3653" w:rsidP="00DF50D1"/>
        </w:tc>
      </w:tr>
    </w:tbl>
    <w:p w:rsidR="00BE3653" w:rsidRDefault="00BE36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BE3653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3653" w:rsidRDefault="00BE3653" w:rsidP="00DF50D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653" w:rsidRDefault="00BE3653" w:rsidP="00DF50D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4504D5A" wp14:editId="67B4293E">
                  <wp:extent cx="5505450" cy="205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653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3653" w:rsidRDefault="00BE3653" w:rsidP="00DF50D1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3653" w:rsidRPr="00BE3653" w:rsidRDefault="00BE3653" w:rsidP="00DF50D1">
            <w:r w:rsidRPr="00BE3653">
              <w:t>(a)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BE3653" w:rsidRDefault="00752A86" w:rsidP="00DF50D1">
            <w:pPr>
              <w:rPr>
                <w:b/>
              </w:rPr>
            </w:pPr>
            <w:r>
              <w:object w:dxaOrig="8565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28.25pt;height:195pt" o:ole="">
                  <v:imagedata r:id="rId6" o:title=""/>
                </v:shape>
                <o:OLEObject Type="Embed" ProgID="PBrush" ShapeID="_x0000_i1034" DrawAspect="Content" ObjectID="_1549017860" r:id="rId7"/>
              </w:object>
            </w:r>
          </w:p>
        </w:tc>
      </w:tr>
      <w:tr w:rsidR="00BE3653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3653" w:rsidRDefault="00BE3653" w:rsidP="00DF50D1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3653" w:rsidRPr="00BE3653" w:rsidRDefault="00BE3653" w:rsidP="00DF50D1">
            <w:r w:rsidRPr="00BE3653">
              <w:t>(b)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BE3653" w:rsidRDefault="00752A86" w:rsidP="00DF50D1">
            <w:r>
              <w:object w:dxaOrig="8550" w:dyaOrig="5355">
                <v:shape id="_x0000_i1036" type="#_x0000_t75" style="width:427.5pt;height:267.75pt" o:ole="">
                  <v:imagedata r:id="rId8" o:title=""/>
                </v:shape>
                <o:OLEObject Type="Embed" ProgID="PBrush" ShapeID="_x0000_i1036" DrawAspect="Content" ObjectID="_1549017861" r:id="rId9"/>
              </w:object>
            </w:r>
          </w:p>
          <w:p w:rsidR="00752A86" w:rsidRPr="00752A86" w:rsidRDefault="00752A86" w:rsidP="00752A86">
            <w:pPr>
              <w:jc w:val="right"/>
              <w:rPr>
                <w:b/>
              </w:rPr>
            </w:pPr>
            <w:r w:rsidRPr="00752A86">
              <w:rPr>
                <w:b/>
              </w:rPr>
              <w:t>(Total 8 marks)</w:t>
            </w:r>
          </w:p>
        </w:tc>
      </w:tr>
      <w:tr w:rsidR="00752A86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F4DB490" wp14:editId="2314DF1E">
                  <wp:extent cx="5076825" cy="2200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86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E7B0198" wp14:editId="1FF8DC1E">
                  <wp:extent cx="5791200" cy="3752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86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F23AA9D" wp14:editId="66550115">
                  <wp:extent cx="5743575" cy="12954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86" w:rsidTr="00752A8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A86" w:rsidRDefault="00752A86" w:rsidP="00DF50D1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03C8F98" wp14:editId="0E5DA4D8">
                  <wp:extent cx="5791200" cy="23145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387" w:rsidRDefault="00D44387" w:rsidP="00D44387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9 marks)</w:t>
            </w:r>
          </w:p>
        </w:tc>
      </w:tr>
    </w:tbl>
    <w:p w:rsidR="00BE3653" w:rsidRDefault="00BE3653" w:rsidP="00DF50D1">
      <w:pPr>
        <w:rPr>
          <w:b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>      (a)     In the presence of the catalyst rhodium, the reaction between NO and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occurs according to the following equation.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61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2NO(g)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kinetics of the reaction were investigated and the rate equation was found to be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69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[NO]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initial rate of reaction was 6.2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–6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when the initial concentration of NO was 2.9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and the initial concentration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was 2.3</w:t>
      </w:r>
      <w:r>
        <w:rPr>
          <w:rFonts w:ascii="Times New Roman" w:hAnsi="Times New Roman" w:cs="Times New Roman"/>
          <w:lang w:val="en-US"/>
        </w:rPr>
        <w:t xml:space="preserve">×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value of the rate constant under these conditions and give its units.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initial rate of reaction if the experiment is repeated under the same conditions but with the concentrations of NO and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both doubled from their original values.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Using the rate equation and the overall equation, the following three-step mechanism for the reaction was suggested. X and Y are intermediate species.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700" w:right="567"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           NO  +  NO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X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700" w:right="567"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              X  + 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Y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700" w:right="567" w:hanging="12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              Y  + 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23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three steps is the rate-determining step.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Rate-determining step..................................................................................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Acyl chlorides such as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are useful compounds in synthesis.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acyl chloride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reacts with benzene.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Write an equation for this reaction and name the organic product.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catalyst for the reaction.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to show how this catalyst reacts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to produce a reactive intermediate.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and outline a mechanism for the reaction of benzene with the reactive intermediate in part (a)(i).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Nucleophiles such as alcohols can react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</w:t>
      </w:r>
      <w:r>
        <w:rPr>
          <w:rFonts w:ascii="Arial" w:hAnsi="Arial" w:cs="Arial"/>
          <w:lang w:val="en-US"/>
        </w:rPr>
        <w:br/>
        <w:t>The ion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</w:t>
      </w:r>
      <w:r>
        <w:rPr>
          <w:rFonts w:ascii="Arial" w:hAnsi="Arial" w:cs="Arial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can act as a nucleophile in a similar way.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meaning of the term </w:t>
      </w:r>
      <w:r>
        <w:rPr>
          <w:rFonts w:ascii="Arial" w:hAnsi="Arial" w:cs="Arial"/>
          <w:i/>
          <w:iCs/>
          <w:lang w:val="en-US"/>
        </w:rPr>
        <w:t>nucleophile</w:t>
      </w:r>
      <w:r>
        <w:rPr>
          <w:rFonts w:ascii="Arial" w:hAnsi="Arial" w:cs="Arial"/>
          <w:lang w:val="en-US"/>
        </w:rPr>
        <w:t>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 of the organic product formed by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functional group produced in this reaction.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752A86" w:rsidRDefault="00752A86" w:rsidP="00752A86">
      <w:pPr>
        <w:pStyle w:val="BodyText"/>
        <w:rPr>
          <w:b w:val="0"/>
          <w:bCs w:val="0"/>
          <w:sz w:val="22"/>
          <w:szCs w:val="22"/>
        </w:rPr>
      </w:pPr>
      <w:r>
        <w:br/>
      </w:r>
      <w:r w:rsidRPr="00752A86">
        <w:rPr>
          <w:bCs w:val="0"/>
        </w:rPr>
        <w:t>6.</w:t>
      </w:r>
      <w:r>
        <w:rPr>
          <w:b w:val="0"/>
          <w:bCs w:val="0"/>
        </w:rPr>
        <w:tab/>
      </w:r>
      <w:r w:rsidRPr="00752A86">
        <w:rPr>
          <w:b w:val="0"/>
        </w:rPr>
        <w:t xml:space="preserve">A possible synthesis of the amino acid </w:t>
      </w:r>
      <w:r w:rsidRPr="00752A86">
        <w:rPr>
          <w:bCs w:val="0"/>
        </w:rPr>
        <w:t>X</w:t>
      </w:r>
      <w:r w:rsidRPr="00752A86">
        <w:rPr>
          <w:b w:val="0"/>
        </w:rPr>
        <w:t xml:space="preserve"> is shown below.</w:t>
      </w:r>
    </w:p>
    <w:p w:rsidR="00752A86" w:rsidRPr="00752A86" w:rsidRDefault="00752A86" w:rsidP="00752A86">
      <w:pPr>
        <w:pStyle w:val="question"/>
        <w:rPr>
          <w:rFonts w:eastAsiaTheme="minorHAnsi"/>
          <w:lang w:val="en-US" w:eastAsia="en-US"/>
        </w:rPr>
      </w:pPr>
      <w:r w:rsidRPr="00752A86">
        <w:rPr>
          <w:rFonts w:eastAsiaTheme="minorHAnsi"/>
          <w:lang w:val="en-US" w:eastAsia="en-US"/>
        </w:rPr>
        <w:tab/>
      </w:r>
      <w:r w:rsidRPr="00752A86">
        <w:rPr>
          <w:rFonts w:eastAsiaTheme="minorHAnsi"/>
          <w:noProof/>
          <w:lang w:val="en-US" w:eastAsia="en-US"/>
        </w:rPr>
        <w:drawing>
          <wp:inline distT="0" distB="0" distL="0" distR="0">
            <wp:extent cx="5076825" cy="226873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93" cy="22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and outline a mechanism for 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Give the IUPAC name of the product of 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For 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, give the reagent, give a necessary condition and name the mechanism.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Condition 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At room temperature, the amino acid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exists as a solid.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species present in the solid amino acid.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With reference to your answer to part (d)(i), explain why the melting point of the amino acid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higher than the melting point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CH(OH)COOH.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752A86" w:rsidRDefault="00752A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     There are many structural isomers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)COOH.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a structural isomer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is an ethyl ester.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Draw a structural isomer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is an amide and also a tertiary alcohol.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a structural isomer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that has an unbranched carbon chain and can be </w:t>
      </w:r>
      <w:proofErr w:type="spellStart"/>
      <w:r>
        <w:rPr>
          <w:rFonts w:ascii="Arial" w:hAnsi="Arial" w:cs="Arial"/>
          <w:lang w:val="en-US"/>
        </w:rPr>
        <w:t>polymerised</w:t>
      </w:r>
      <w:proofErr w:type="spellEnd"/>
      <w:r>
        <w:rPr>
          <w:rFonts w:ascii="Arial" w:hAnsi="Arial" w:cs="Arial"/>
          <w:lang w:val="en-US"/>
        </w:rPr>
        <w:t xml:space="preserve"> to form a polyamide.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     Draw the structure of the tertiary amine formed when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reacts with bromomethane.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lang w:val="en-US"/>
        </w:rPr>
        <w:t>      </w:t>
      </w:r>
      <w:proofErr w:type="spellStart"/>
      <w:r>
        <w:rPr>
          <w:rFonts w:ascii="Arial" w:hAnsi="Arial" w:cs="Arial"/>
          <w:lang w:val="en-US"/>
        </w:rPr>
        <w:t>Fibres</w:t>
      </w:r>
      <w:proofErr w:type="spellEnd"/>
      <w:r>
        <w:rPr>
          <w:rFonts w:ascii="Arial" w:hAnsi="Arial" w:cs="Arial"/>
          <w:lang w:val="en-US"/>
        </w:rPr>
        <w:t xml:space="preserve"> are made from natural and from synthetic polymers. Both types of polymer have advantages and disadvantages.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Amino acids are the building blocks of naturally-occurring polymers called proteins.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the following amino acid.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57275" cy="676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amino acid species present in a solution at pH 12.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your understanding of amino acid chemistry to deduce the structure of the dipeptide formed from two molecules of this amino acid and illustrate your answer with a sketch showing the structure of the dipeptide.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Protein chains are often arranged in the shape of a helix. Name the type of interaction that is responsible for holding the protein chain in this shape.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Alkenes are the building blocks of synthetic addition polymers.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the hydrocarbon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which can be </w:t>
      </w:r>
      <w:proofErr w:type="spellStart"/>
      <w:r>
        <w:rPr>
          <w:rFonts w:ascii="Arial" w:hAnsi="Arial" w:cs="Arial"/>
          <w:lang w:val="en-US"/>
        </w:rPr>
        <w:t>polymerised</w:t>
      </w:r>
      <w:proofErr w:type="spellEnd"/>
      <w:r>
        <w:rPr>
          <w:rFonts w:ascii="Arial" w:hAnsi="Arial" w:cs="Arial"/>
          <w:lang w:val="en-US"/>
        </w:rPr>
        <w:t>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repeating unit of the polymer.</w:t>
      </w:r>
    </w:p>
    <w:p w:rsidR="00752A86" w:rsidRDefault="00752A86" w:rsidP="00D443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52A86" w:rsidRDefault="00752A86" w:rsidP="00D443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D44387" w:rsidRPr="00D44387" w:rsidRDefault="00D44387" w:rsidP="00D44387">
      <w:pPr>
        <w:pStyle w:val="question"/>
        <w:spacing w:before="0"/>
        <w:rPr>
          <w:rFonts w:eastAsiaTheme="minorHAnsi"/>
          <w:lang w:val="en-US" w:eastAsia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which shows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 xml:space="preserve">Z </w:t>
      </w:r>
      <w:r>
        <w:rPr>
          <w:rFonts w:ascii="Arial" w:hAnsi="Arial" w:cs="Arial"/>
          <w:lang w:val="en-US"/>
        </w:rPr>
        <w:t>isomerism.</w:t>
      </w:r>
    </w:p>
    <w:p w:rsidR="00752A86" w:rsidRDefault="00752A86" w:rsidP="00D443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</w:p>
    <w:p w:rsidR="00D44387" w:rsidRDefault="00D44387" w:rsidP="00D443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D44387" w:rsidRDefault="00D44387" w:rsidP="00D443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>which does not react with bromine water.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Draw the repeating unit of the polymer formed by the reaction between </w:t>
      </w:r>
      <w:proofErr w:type="spellStart"/>
      <w:r>
        <w:rPr>
          <w:rFonts w:ascii="Arial" w:hAnsi="Arial" w:cs="Arial"/>
          <w:lang w:val="en-US"/>
        </w:rPr>
        <w:t>butanedioic</w:t>
      </w:r>
      <w:proofErr w:type="spellEnd"/>
      <w:r>
        <w:rPr>
          <w:rFonts w:ascii="Arial" w:hAnsi="Arial" w:cs="Arial"/>
          <w:lang w:val="en-US"/>
        </w:rPr>
        <w:t xml:space="preserve"> acid and hexane-1,6-diamine.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Two plastic objects were manufactured, one from the </w:t>
      </w:r>
      <w:proofErr w:type="spellStart"/>
      <w:r>
        <w:rPr>
          <w:rFonts w:ascii="Arial" w:hAnsi="Arial" w:cs="Arial"/>
          <w:lang w:val="en-US"/>
        </w:rPr>
        <w:t>polyalkene</w:t>
      </w:r>
      <w:proofErr w:type="spellEnd"/>
      <w:r>
        <w:rPr>
          <w:rFonts w:ascii="Arial" w:hAnsi="Arial" w:cs="Arial"/>
          <w:lang w:val="en-US"/>
        </w:rPr>
        <w:t xml:space="preserve"> represented by the repeating unit in part (b)(i) and the other from the polyamide represented by the repeating unit in part (c).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use it was suggested that both objects be disposed of as landfill.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Describe an experiment in which you could compare the biodegradability of these two objects.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Describe an advantage or a disadvantage of a different method of disposal of such objects compared with landfill.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</w:t>
      </w:r>
      <w:r w:rsidR="00752A86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 w:rsidR="00752A86">
        <w:rPr>
          <w:rFonts w:ascii="Arial" w:hAnsi="Arial" w:cs="Arial"/>
          <w:lang w:val="en-US"/>
        </w:rPr>
        <w:t>Atenolol is an example of the type of medicine called a beta blocker. These medicines are used to lower blood pressure by slowing the heart rate. The structure of atenolol is shown below.</w:t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752A86">
        <w:rPr>
          <w:rFonts w:ascii="Arial" w:hAnsi="Arial" w:cs="Arial"/>
          <w:noProof/>
          <w:lang w:eastAsia="en-GB"/>
        </w:rPr>
        <w:drawing>
          <wp:inline distT="0" distB="0" distL="0" distR="0">
            <wp:extent cx="4219575" cy="1057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the name of each of the circled functional groups labelled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on the structure of atenolol shown above.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Functional group labelled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Functional group labelled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atenolol was recorded.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of the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is produced by the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group labelled </w:t>
      </w:r>
      <w:r>
        <w:rPr>
          <w:rFonts w:ascii="Arial" w:hAnsi="Arial" w:cs="Arial"/>
          <w:i/>
          <w:iCs/>
          <w:lang w:val="en-US"/>
        </w:rPr>
        <w:t>p</w:t>
      </w:r>
      <w:r>
        <w:rPr>
          <w:rFonts w:ascii="Arial" w:hAnsi="Arial" w:cs="Arial"/>
          <w:lang w:val="en-US"/>
        </w:rPr>
        <w:t xml:space="preserve"> in the structure of atenolol.</w:t>
      </w:r>
      <w:r>
        <w:rPr>
          <w:rFonts w:ascii="Arial" w:hAnsi="Arial" w:cs="Arial"/>
          <w:lang w:val="en-US"/>
        </w:rPr>
        <w:br/>
        <w:t xml:space="preserve">Use </w:t>
      </w:r>
      <w:r>
        <w:rPr>
          <w:rFonts w:ascii="Arial" w:hAnsi="Arial" w:cs="Arial"/>
          <w:b/>
          <w:bCs/>
          <w:lang w:val="en-US"/>
        </w:rPr>
        <w:t>Table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on the Data Sheet to suggest a range of δ values for this peak.</w:t>
      </w:r>
      <w:r>
        <w:rPr>
          <w:rFonts w:ascii="Arial" w:hAnsi="Arial" w:cs="Arial"/>
          <w:lang w:val="en-US"/>
        </w:rPr>
        <w:br/>
        <w:t>Name the splitting pattern of this peak.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Range of δ values 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splitting pattern ……......................................................................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 are recorded using samples in solution.</w:t>
      </w:r>
      <w:r>
        <w:rPr>
          <w:rFonts w:ascii="Arial" w:hAnsi="Arial" w:cs="Arial"/>
          <w:lang w:val="en-US"/>
        </w:rPr>
        <w:br/>
        <w:t xml:space="preserve">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was recorded using a solution of atenolol in CDCl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Suggest why CDCl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CHCl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was used as the solvent.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Suggest why CDCl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is a more effective solvent than CCl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for polar molecules such as atenolol.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atenolol was also recorded.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structure of atenolol given to deduce the total number of peaks in the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atenolol.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     Part of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atenolol is shown below. Use this spectrum and </w:t>
      </w:r>
      <w:r>
        <w:rPr>
          <w:rFonts w:ascii="Arial" w:hAnsi="Arial" w:cs="Arial"/>
          <w:b/>
          <w:bCs/>
          <w:lang w:val="en-US"/>
        </w:rPr>
        <w:t>Table 3</w:t>
      </w:r>
      <w:r>
        <w:rPr>
          <w:rFonts w:ascii="Arial" w:hAnsi="Arial" w:cs="Arial"/>
          <w:lang w:val="en-US"/>
        </w:rPr>
        <w:t xml:space="preserve"> on the Data Sheet, where appropriate, to answer the questions which follow.</w:t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52A86">
        <w:rPr>
          <w:rFonts w:ascii="Arial" w:hAnsi="Arial" w:cs="Arial"/>
          <w:noProof/>
          <w:lang w:eastAsia="en-GB"/>
        </w:rPr>
        <w:drawing>
          <wp:inline distT="0" distB="0" distL="0" distR="0">
            <wp:extent cx="2428875" cy="2933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Give the formula of the compound that is used as a standard and produces the peak at δ = 0 ppm in the spectrum.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One of the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above is produced by the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group labelled </w:t>
      </w:r>
      <w:r>
        <w:rPr>
          <w:rFonts w:ascii="Arial" w:hAnsi="Arial" w:cs="Arial"/>
          <w:i/>
          <w:iCs/>
          <w:lang w:val="en-US"/>
        </w:rPr>
        <w:t>q</w:t>
      </w:r>
      <w:r>
        <w:rPr>
          <w:rFonts w:ascii="Arial" w:hAnsi="Arial" w:cs="Arial"/>
          <w:lang w:val="en-US"/>
        </w:rPr>
        <w:t xml:space="preserve"> in the structure of atenolol.</w:t>
      </w:r>
      <w:r>
        <w:rPr>
          <w:rFonts w:ascii="Arial" w:hAnsi="Arial" w:cs="Arial"/>
          <w:lang w:val="en-US"/>
        </w:rPr>
        <w:br/>
        <w:t>Identify this peak in the spectrum by stating its δ value.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There are three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groups in the structure of atenolol. One of these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groups produces the peak at δ = 71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above.</w:t>
      </w:r>
      <w:r>
        <w:rPr>
          <w:rFonts w:ascii="Arial" w:hAnsi="Arial" w:cs="Arial"/>
          <w:lang w:val="en-US"/>
        </w:rPr>
        <w:br/>
        <w:t>Draw a circle around this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group in the structure of atenolol shown below.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4337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44387" w:rsidRDefault="00D443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(f)      Atenolol is produced industrially as a 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  <w:r>
        <w:rPr>
          <w:rFonts w:ascii="Arial" w:hAnsi="Arial" w:cs="Arial"/>
          <w:lang w:val="en-US"/>
        </w:rPr>
        <w:t xml:space="preserve"> (an equimolar mixture of two enantiomers) by reduction of a ketone. Both enantiomers are able to lower blood pressure. However, recent research has shown that one enantiomer is preferred in medicines.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Suggest a reducing agent that could reduce a ketone to form atenolol.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a circle around the asymmetric carbon atom in the structure of atenolol shown below.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43375" cy="685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Suggest how you could show that the atenolol produced by reduction of a ketone was a 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single enantiomer.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and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disadvantage of using a 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  <w:r>
        <w:rPr>
          <w:rFonts w:ascii="Arial" w:hAnsi="Arial" w:cs="Arial"/>
          <w:lang w:val="en-US"/>
        </w:rPr>
        <w:t xml:space="preserve"> rather than a single enantiomer in medicines.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 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Disadvantage 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D44387" w:rsidRDefault="00D4438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752A86">
        <w:rPr>
          <w:rFonts w:ascii="Arial" w:hAnsi="Arial" w:cs="Arial"/>
          <w:b/>
          <w:bCs/>
          <w:lang w:val="en-US"/>
        </w:rPr>
        <w:t>.</w:t>
      </w:r>
      <w:r w:rsidR="00752A86">
        <w:rPr>
          <w:rFonts w:ascii="Arial" w:hAnsi="Arial" w:cs="Arial"/>
          <w:lang w:val="en-US"/>
        </w:rPr>
        <w:t xml:space="preserve">          The conversion of compound </w:t>
      </w:r>
      <w:r w:rsidR="00752A86">
        <w:rPr>
          <w:rFonts w:ascii="Arial" w:hAnsi="Arial" w:cs="Arial"/>
          <w:b/>
          <w:bCs/>
          <w:lang w:val="en-US"/>
        </w:rPr>
        <w:t xml:space="preserve">A </w:t>
      </w:r>
      <w:r w:rsidR="00752A86">
        <w:rPr>
          <w:rFonts w:ascii="Arial" w:hAnsi="Arial" w:cs="Arial"/>
          <w:lang w:val="en-US"/>
        </w:rPr>
        <w:t xml:space="preserve">into compound </w:t>
      </w:r>
      <w:r w:rsidR="00752A86">
        <w:rPr>
          <w:rFonts w:ascii="Arial" w:hAnsi="Arial" w:cs="Arial"/>
          <w:b/>
          <w:bCs/>
          <w:lang w:val="en-US"/>
        </w:rPr>
        <w:t xml:space="preserve">B </w:t>
      </w:r>
      <w:r w:rsidR="00752A86">
        <w:rPr>
          <w:rFonts w:ascii="Arial" w:hAnsi="Arial" w:cs="Arial"/>
          <w:lang w:val="en-US"/>
        </w:rPr>
        <w:t>can be achieved in two steps as shown below.</w:t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52A86">
        <w:rPr>
          <w:rFonts w:ascii="Arial" w:hAnsi="Arial" w:cs="Arial"/>
          <w:noProof/>
          <w:lang w:eastAsia="en-GB"/>
        </w:rPr>
        <w:drawing>
          <wp:inline distT="0" distB="0" distL="0" distR="0">
            <wp:extent cx="3895725" cy="809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752A86">
        <w:rPr>
          <w:rFonts w:ascii="Arial" w:hAnsi="Arial" w:cs="Arial"/>
          <w:lang w:val="en-US"/>
        </w:rPr>
        <w:t xml:space="preserve">Show how the number of peaks in their proton </w:t>
      </w:r>
      <w:proofErr w:type="spellStart"/>
      <w:r w:rsidR="00752A86">
        <w:rPr>
          <w:rFonts w:ascii="Arial" w:hAnsi="Arial" w:cs="Arial"/>
          <w:lang w:val="en-US"/>
        </w:rPr>
        <w:t>n.m.r</w:t>
      </w:r>
      <w:proofErr w:type="spellEnd"/>
      <w:r w:rsidR="00752A86">
        <w:rPr>
          <w:rFonts w:ascii="Arial" w:hAnsi="Arial" w:cs="Arial"/>
          <w:lang w:val="en-US"/>
        </w:rPr>
        <w:t xml:space="preserve">. spectra </w:t>
      </w:r>
      <w:r>
        <w:rPr>
          <w:rFonts w:ascii="Arial" w:hAnsi="Arial" w:cs="Arial"/>
          <w:lang w:val="en-US"/>
        </w:rPr>
        <w:t xml:space="preserve">would enable you to distinguish </w:t>
      </w:r>
      <w:r w:rsidR="00752A86">
        <w:rPr>
          <w:rFonts w:ascii="Arial" w:hAnsi="Arial" w:cs="Arial"/>
          <w:lang w:val="en-US"/>
        </w:rPr>
        <w:t xml:space="preserve">between compounds </w:t>
      </w:r>
      <w:r w:rsidR="00752A86">
        <w:rPr>
          <w:rFonts w:ascii="Arial" w:hAnsi="Arial" w:cs="Arial"/>
          <w:b/>
          <w:bCs/>
          <w:lang w:val="en-US"/>
        </w:rPr>
        <w:t xml:space="preserve">A </w:t>
      </w:r>
      <w:r w:rsidR="00752A86">
        <w:rPr>
          <w:rFonts w:ascii="Arial" w:hAnsi="Arial" w:cs="Arial"/>
          <w:lang w:val="en-US"/>
        </w:rPr>
        <w:t xml:space="preserve">and </w:t>
      </w:r>
      <w:r w:rsidR="00752A86">
        <w:rPr>
          <w:rFonts w:ascii="Arial" w:hAnsi="Arial" w:cs="Arial"/>
          <w:b/>
          <w:bCs/>
          <w:lang w:val="en-US"/>
        </w:rPr>
        <w:t>B</w:t>
      </w:r>
      <w:r w:rsidR="00752A86">
        <w:rPr>
          <w:rFonts w:ascii="Arial" w:hAnsi="Arial" w:cs="Arial"/>
          <w:lang w:val="en-US"/>
        </w:rPr>
        <w:t>.</w:t>
      </w:r>
    </w:p>
    <w:p w:rsidR="00D44387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</w:t>
      </w:r>
    </w:p>
    <w:p w:rsidR="00D44387" w:rsidRDefault="00D44387" w:rsidP="00D443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</w:t>
      </w:r>
    </w:p>
    <w:p w:rsidR="00D44387" w:rsidRDefault="00D44387" w:rsidP="00D443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</w:t>
      </w:r>
    </w:p>
    <w:p w:rsidR="00D44387" w:rsidRDefault="00D44387" w:rsidP="00D443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D44387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</w:t>
      </w:r>
      <w:r w:rsidR="00752A86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D44387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752A86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52A86">
        <w:rPr>
          <w:rFonts w:ascii="Arial" w:hAnsi="Arial" w:cs="Arial"/>
          <w:lang w:val="en-US"/>
        </w:rPr>
        <w:t>When the molecular formula of a compound is known, spectroscopic and other analytical techniques can be used to distinguish between possible structural isomers.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possible structure for each of the compounds described in parts (a) to (d).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Compounds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and both are </w:t>
      </w:r>
      <w:proofErr w:type="spellStart"/>
      <w:r>
        <w:rPr>
          <w:rFonts w:ascii="Arial" w:hAnsi="Arial" w:cs="Arial"/>
          <w:lang w:val="en-US"/>
        </w:rPr>
        <w:t>dinitrobenzenes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has two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has three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</w:t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G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Compounds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Both have only one peak in their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 xml:space="preserve"> reacts with aqueous bromine but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does not.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</w:t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J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44387" w:rsidRDefault="00D443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are cyclic compounds with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O.</w:t>
      </w:r>
      <w:r>
        <w:rPr>
          <w:rFonts w:ascii="Arial" w:hAnsi="Arial" w:cs="Arial"/>
          <w:lang w:val="en-US"/>
        </w:rPr>
        <w:br/>
        <w:t xml:space="preserve">Both have four peaks in their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is a ketone and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is an aldehyde.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</w:t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L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Compounds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lang w:val="en-US"/>
        </w:rPr>
        <w:t xml:space="preserve"> have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 is a tertiary amine with only two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lang w:val="en-US"/>
        </w:rPr>
        <w:t xml:space="preserve"> is a secondary amine with only three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 w:rsidR="00D4438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N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52A86" w:rsidRDefault="00752A86" w:rsidP="00752A8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p w:rsidR="00526023" w:rsidRDefault="00526023" w:rsidP="00526023">
      <w:pPr>
        <w:rPr>
          <w:b/>
        </w:rPr>
      </w:pPr>
    </w:p>
    <w:p w:rsidR="00526023" w:rsidRDefault="00526023" w:rsidP="00526023">
      <w:pPr>
        <w:rPr>
          <w:b/>
        </w:rPr>
      </w:pPr>
    </w:p>
    <w:p w:rsidR="00526023" w:rsidRDefault="00526023" w:rsidP="00526023">
      <w:pPr>
        <w:rPr>
          <w:b/>
        </w:rPr>
      </w:pPr>
    </w:p>
    <w:p w:rsidR="00526023" w:rsidRDefault="00526023" w:rsidP="00526023">
      <w:pPr>
        <w:rPr>
          <w:b/>
        </w:rPr>
      </w:pPr>
    </w:p>
    <w:p w:rsidR="00526023" w:rsidRDefault="00526023" w:rsidP="00526023">
      <w:pPr>
        <w:rPr>
          <w:b/>
        </w:rPr>
      </w:pPr>
    </w:p>
    <w:p w:rsidR="00D44387" w:rsidRDefault="00D44387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574ACB" w:rsidTr="008A0197">
        <w:tc>
          <w:tcPr>
            <w:tcW w:w="562" w:type="dxa"/>
          </w:tcPr>
          <w:p w:rsidR="00574ACB" w:rsidRDefault="00D44387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0228" w:type="dxa"/>
            <w:gridSpan w:val="2"/>
          </w:tcPr>
          <w:p w:rsidR="00574ACB" w:rsidRDefault="00574ACB">
            <w:r>
              <w:object w:dxaOrig="9480" w:dyaOrig="2325">
                <v:shape id="_x0000_i1025" type="#_x0000_t75" style="width:474pt;height:116.25pt" o:ole="">
                  <v:imagedata r:id="rId22" o:title=""/>
                </v:shape>
                <o:OLEObject Type="Embed" ProgID="PBrush" ShapeID="_x0000_i1025" DrawAspect="Content" ObjectID="_1549017862" r:id="rId23"/>
              </w:object>
            </w:r>
          </w:p>
          <w:p w:rsidR="00574ACB" w:rsidRDefault="00574ACB"/>
          <w:p w:rsidR="00574ACB" w:rsidRDefault="00574ACB">
            <w:r>
              <w:object w:dxaOrig="9720" w:dyaOrig="1155">
                <v:shape id="_x0000_i1026" type="#_x0000_t75" style="width:486pt;height:57.75pt" o:ole="">
                  <v:imagedata r:id="rId24" o:title=""/>
                </v:shape>
                <o:OLEObject Type="Embed" ProgID="PBrush" ShapeID="_x0000_i1026" DrawAspect="Content" ObjectID="_1549017863" r:id="rId25"/>
              </w:object>
            </w:r>
          </w:p>
          <w:p w:rsidR="00574ACB" w:rsidRDefault="00574ACB"/>
          <w:p w:rsidR="00574ACB" w:rsidRDefault="00574ACB">
            <w:pPr>
              <w:rPr>
                <w:b/>
              </w:rPr>
            </w:pPr>
            <w:r>
              <w:object w:dxaOrig="2775" w:dyaOrig="330">
                <v:shape id="_x0000_i1027" type="#_x0000_t75" style="width:138.75pt;height:16.5pt" o:ole="">
                  <v:imagedata r:id="rId26" o:title=""/>
                </v:shape>
                <o:OLEObject Type="Embed" ProgID="PBrush" ShapeID="_x0000_i1027" DrawAspect="Content" ObjectID="_1549017864" r:id="rId27"/>
              </w:object>
            </w:r>
          </w:p>
        </w:tc>
      </w:tr>
      <w:tr w:rsidR="00574ACB" w:rsidTr="008A0197">
        <w:tc>
          <w:tcPr>
            <w:tcW w:w="562" w:type="dxa"/>
          </w:tcPr>
          <w:p w:rsidR="00574ACB" w:rsidRDefault="00574ACB">
            <w:pPr>
              <w:rPr>
                <w:b/>
              </w:rPr>
            </w:pPr>
          </w:p>
        </w:tc>
        <w:tc>
          <w:tcPr>
            <w:tcW w:w="567" w:type="dxa"/>
          </w:tcPr>
          <w:p w:rsidR="00574ACB" w:rsidRPr="008A0197" w:rsidRDefault="00D44387">
            <w:r w:rsidRPr="008A0197">
              <w:t>(a)</w:t>
            </w:r>
          </w:p>
        </w:tc>
        <w:tc>
          <w:tcPr>
            <w:tcW w:w="9661" w:type="dxa"/>
          </w:tcPr>
          <w:p w:rsidR="00574ACB" w:rsidRDefault="00574ACB">
            <w:r>
              <w:object w:dxaOrig="4515" w:dyaOrig="315">
                <v:shape id="_x0000_i1028" type="#_x0000_t75" style="width:225.75pt;height:15.75pt" o:ole="">
                  <v:imagedata r:id="rId28" o:title=""/>
                </v:shape>
                <o:OLEObject Type="Embed" ProgID="PBrush" ShapeID="_x0000_i1028" DrawAspect="Content" ObjectID="_1549017865" r:id="rId29"/>
              </w:object>
            </w:r>
          </w:p>
          <w:p w:rsidR="00D44387" w:rsidRDefault="00D44387"/>
          <w:p w:rsidR="00D44387" w:rsidRDefault="00D4438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D44387" w:rsidRDefault="00D44387"/>
          <w:p w:rsidR="00D44387" w:rsidRDefault="00D44387" w:rsidP="00D4438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D44387" w:rsidRDefault="00D44387"/>
          <w:p w:rsidR="00D44387" w:rsidRDefault="00D44387" w:rsidP="00D44387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574ACB" w:rsidRPr="00574ACB" w:rsidRDefault="00574ACB" w:rsidP="00EA7324"/>
        </w:tc>
      </w:tr>
      <w:tr w:rsidR="00574ACB" w:rsidTr="008A0197">
        <w:tc>
          <w:tcPr>
            <w:tcW w:w="562" w:type="dxa"/>
          </w:tcPr>
          <w:p w:rsidR="00574ACB" w:rsidRDefault="00574ACB">
            <w:pPr>
              <w:rPr>
                <w:b/>
              </w:rPr>
            </w:pPr>
          </w:p>
        </w:tc>
        <w:tc>
          <w:tcPr>
            <w:tcW w:w="567" w:type="dxa"/>
          </w:tcPr>
          <w:p w:rsidR="00574ACB" w:rsidRPr="008A0197" w:rsidRDefault="00D44387">
            <w:r w:rsidRPr="008A0197">
              <w:t>(b)</w:t>
            </w:r>
          </w:p>
        </w:tc>
        <w:tc>
          <w:tcPr>
            <w:tcW w:w="9661" w:type="dxa"/>
          </w:tcPr>
          <w:p w:rsidR="00574ACB" w:rsidRDefault="00574ACB">
            <w:r>
              <w:object w:dxaOrig="9120" w:dyaOrig="885">
                <v:shape id="_x0000_i1029" type="#_x0000_t75" style="width:456pt;height:44.25pt" o:ole="">
                  <v:imagedata r:id="rId30" o:title=""/>
                </v:shape>
                <o:OLEObject Type="Embed" ProgID="PBrush" ShapeID="_x0000_i1029" DrawAspect="Content" ObjectID="_1549017866" r:id="rId31"/>
              </w:object>
            </w:r>
          </w:p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574ACB" w:rsidRDefault="00574ACB">
            <w:pPr>
              <w:rPr>
                <w:b/>
              </w:rPr>
            </w:pPr>
          </w:p>
        </w:tc>
      </w:tr>
      <w:tr w:rsidR="00574ACB" w:rsidTr="008A0197">
        <w:tc>
          <w:tcPr>
            <w:tcW w:w="562" w:type="dxa"/>
          </w:tcPr>
          <w:p w:rsidR="00574ACB" w:rsidRDefault="00574ACB">
            <w:pPr>
              <w:rPr>
                <w:b/>
              </w:rPr>
            </w:pPr>
          </w:p>
        </w:tc>
        <w:tc>
          <w:tcPr>
            <w:tcW w:w="567" w:type="dxa"/>
          </w:tcPr>
          <w:p w:rsidR="00574ACB" w:rsidRPr="008A0197" w:rsidRDefault="00D44387">
            <w:r w:rsidRPr="008A0197">
              <w:t>(c)</w:t>
            </w:r>
          </w:p>
        </w:tc>
        <w:tc>
          <w:tcPr>
            <w:tcW w:w="9661" w:type="dxa"/>
          </w:tcPr>
          <w:p w:rsidR="00574ACB" w:rsidRDefault="00574ACB">
            <w:r>
              <w:object w:dxaOrig="5160" w:dyaOrig="300">
                <v:shape id="_x0000_i1030" type="#_x0000_t75" style="width:258pt;height:15pt" o:ole="">
                  <v:imagedata r:id="rId32" o:title=""/>
                </v:shape>
                <o:OLEObject Type="Embed" ProgID="PBrush" ShapeID="_x0000_i1030" DrawAspect="Content" ObjectID="_1549017867" r:id="rId33"/>
              </w:object>
            </w:r>
          </w:p>
          <w:p w:rsidR="00EA7324" w:rsidRDefault="00EA7324"/>
          <w:p w:rsidR="00EA7324" w:rsidRDefault="00EA7324"/>
          <w:p w:rsidR="00EA7324" w:rsidRDefault="00EA7324"/>
          <w:p w:rsidR="00EA7324" w:rsidRDefault="00EA7324"/>
          <w:p w:rsidR="00EA7324" w:rsidRDefault="00EA7324"/>
          <w:p w:rsidR="00EA7324" w:rsidRDefault="00EA7324"/>
          <w:p w:rsidR="00EA7324" w:rsidRDefault="00EA7324"/>
          <w:p w:rsidR="00EA7324" w:rsidRDefault="00EA7324"/>
          <w:p w:rsidR="00EA7324" w:rsidRDefault="00EA7324"/>
          <w:p w:rsidR="00EA7324" w:rsidRDefault="00EA7324"/>
          <w:p w:rsidR="00574ACB" w:rsidRDefault="00574ACB">
            <w:pPr>
              <w:rPr>
                <w:b/>
              </w:rPr>
            </w:pPr>
          </w:p>
          <w:p w:rsidR="00EA7324" w:rsidRDefault="00EA7324">
            <w:pPr>
              <w:rPr>
                <w:b/>
              </w:rPr>
            </w:pPr>
          </w:p>
          <w:p w:rsidR="00EA7324" w:rsidRDefault="00EA7324">
            <w:pPr>
              <w:rPr>
                <w:b/>
              </w:rPr>
            </w:pPr>
          </w:p>
          <w:p w:rsidR="00EA7324" w:rsidRDefault="00EA7324">
            <w:pPr>
              <w:rPr>
                <w:b/>
              </w:rPr>
            </w:pPr>
          </w:p>
          <w:p w:rsidR="00EA7324" w:rsidRDefault="00EA7324">
            <w:pPr>
              <w:rPr>
                <w:b/>
              </w:rPr>
            </w:pPr>
          </w:p>
          <w:p w:rsidR="00EA7324" w:rsidRDefault="00EA7324">
            <w:pPr>
              <w:rPr>
                <w:b/>
              </w:rPr>
            </w:pPr>
          </w:p>
        </w:tc>
      </w:tr>
      <w:tr w:rsidR="00574ACB" w:rsidTr="008A0197">
        <w:tc>
          <w:tcPr>
            <w:tcW w:w="562" w:type="dxa"/>
          </w:tcPr>
          <w:p w:rsidR="00574ACB" w:rsidRDefault="00574ACB">
            <w:pPr>
              <w:rPr>
                <w:b/>
              </w:rPr>
            </w:pPr>
          </w:p>
        </w:tc>
        <w:tc>
          <w:tcPr>
            <w:tcW w:w="567" w:type="dxa"/>
          </w:tcPr>
          <w:p w:rsidR="00574ACB" w:rsidRPr="008A0197" w:rsidRDefault="00D44387">
            <w:r w:rsidRPr="008A0197">
              <w:t>(d)</w:t>
            </w:r>
          </w:p>
        </w:tc>
        <w:tc>
          <w:tcPr>
            <w:tcW w:w="9661" w:type="dxa"/>
          </w:tcPr>
          <w:p w:rsidR="00574ACB" w:rsidRDefault="00574ACB">
            <w:r>
              <w:object w:dxaOrig="6030" w:dyaOrig="300">
                <v:shape id="_x0000_i1031" type="#_x0000_t75" style="width:301.5pt;height:15pt" o:ole="">
                  <v:imagedata r:id="rId34" o:title=""/>
                </v:shape>
                <o:OLEObject Type="Embed" ProgID="PBrush" ShapeID="_x0000_i1031" DrawAspect="Content" ObjectID="_1549017868" r:id="rId35"/>
              </w:object>
            </w:r>
          </w:p>
          <w:p w:rsidR="00574ACB" w:rsidRDefault="00574ACB">
            <w:pPr>
              <w:rPr>
                <w:b/>
              </w:rPr>
            </w:pPr>
          </w:p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>
            <w:pPr>
              <w:rPr>
                <w:b/>
              </w:rPr>
            </w:pPr>
          </w:p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>
            <w:pPr>
              <w:rPr>
                <w:b/>
              </w:rPr>
            </w:pPr>
          </w:p>
        </w:tc>
      </w:tr>
      <w:tr w:rsidR="00574ACB" w:rsidTr="008A0197">
        <w:tc>
          <w:tcPr>
            <w:tcW w:w="562" w:type="dxa"/>
          </w:tcPr>
          <w:p w:rsidR="00574ACB" w:rsidRDefault="00574ACB">
            <w:pPr>
              <w:rPr>
                <w:b/>
              </w:rPr>
            </w:pPr>
          </w:p>
        </w:tc>
        <w:tc>
          <w:tcPr>
            <w:tcW w:w="567" w:type="dxa"/>
          </w:tcPr>
          <w:p w:rsidR="00574ACB" w:rsidRPr="008A0197" w:rsidRDefault="00D44387">
            <w:r w:rsidRPr="008A0197">
              <w:t>(e)</w:t>
            </w:r>
          </w:p>
        </w:tc>
        <w:tc>
          <w:tcPr>
            <w:tcW w:w="9661" w:type="dxa"/>
          </w:tcPr>
          <w:p w:rsidR="00574ACB" w:rsidRDefault="00574ACB">
            <w:r>
              <w:object w:dxaOrig="9030" w:dyaOrig="570">
                <v:shape id="_x0000_i1032" type="#_x0000_t75" style="width:451.5pt;height:28.5pt" o:ole="">
                  <v:imagedata r:id="rId36" o:title=""/>
                </v:shape>
                <o:OLEObject Type="Embed" ProgID="PBrush" ShapeID="_x0000_i1032" DrawAspect="Content" ObjectID="_1549017869" r:id="rId37"/>
              </w:object>
            </w:r>
          </w:p>
          <w:p w:rsidR="00574ACB" w:rsidRDefault="00574ACB">
            <w:pPr>
              <w:rPr>
                <w:b/>
              </w:rPr>
            </w:pPr>
          </w:p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>
            <w:pPr>
              <w:rPr>
                <w:b/>
              </w:rPr>
            </w:pPr>
          </w:p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>
            <w:pPr>
              <w:rPr>
                <w:b/>
              </w:rPr>
            </w:pPr>
          </w:p>
        </w:tc>
      </w:tr>
      <w:tr w:rsidR="00574ACB" w:rsidTr="008A0197">
        <w:tc>
          <w:tcPr>
            <w:tcW w:w="562" w:type="dxa"/>
          </w:tcPr>
          <w:p w:rsidR="00574ACB" w:rsidRDefault="00574ACB">
            <w:pPr>
              <w:rPr>
                <w:b/>
              </w:rPr>
            </w:pPr>
          </w:p>
        </w:tc>
        <w:tc>
          <w:tcPr>
            <w:tcW w:w="567" w:type="dxa"/>
          </w:tcPr>
          <w:p w:rsidR="00574ACB" w:rsidRPr="008A0197" w:rsidRDefault="00D44387">
            <w:r w:rsidRPr="008A0197">
              <w:t>(f)</w:t>
            </w:r>
          </w:p>
        </w:tc>
        <w:tc>
          <w:tcPr>
            <w:tcW w:w="9661" w:type="dxa"/>
          </w:tcPr>
          <w:p w:rsidR="00574ACB" w:rsidRDefault="00574ACB">
            <w:r>
              <w:object w:dxaOrig="8205" w:dyaOrig="405">
                <v:shape id="_x0000_i1033" type="#_x0000_t75" style="width:410.25pt;height:20.25pt" o:ole="">
                  <v:imagedata r:id="rId38" o:title=""/>
                </v:shape>
                <o:OLEObject Type="Embed" ProgID="PBrush" ShapeID="_x0000_i1033" DrawAspect="Content" ObjectID="_1549017870" r:id="rId39"/>
              </w:object>
            </w:r>
          </w:p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Default="00EA7324" w:rsidP="00EA7324"/>
          <w:p w:rsidR="00EA7324" w:rsidRDefault="00EA7324" w:rsidP="00EA732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A7324" w:rsidRPr="008A0197" w:rsidRDefault="008A0197" w:rsidP="008A0197">
            <w:pPr>
              <w:jc w:val="right"/>
              <w:rPr>
                <w:b/>
              </w:rPr>
            </w:pPr>
            <w:r w:rsidRPr="008A0197">
              <w:rPr>
                <w:b/>
              </w:rPr>
              <w:t>(Total 8 marks)</w:t>
            </w:r>
          </w:p>
          <w:p w:rsidR="00EA7324" w:rsidRDefault="00EA7324" w:rsidP="00EA7324"/>
        </w:tc>
      </w:tr>
    </w:tbl>
    <w:p w:rsidR="00694E35" w:rsidRDefault="00694E35">
      <w:pPr>
        <w:rPr>
          <w:b/>
        </w:rPr>
      </w:pPr>
    </w:p>
    <w:sectPr w:rsidR="00694E35" w:rsidSect="00574A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CA"/>
    <w:rsid w:val="000B4000"/>
    <w:rsid w:val="00123572"/>
    <w:rsid w:val="001D51CA"/>
    <w:rsid w:val="0021105C"/>
    <w:rsid w:val="00313C4C"/>
    <w:rsid w:val="003A2465"/>
    <w:rsid w:val="003F4EB9"/>
    <w:rsid w:val="00426196"/>
    <w:rsid w:val="004441EA"/>
    <w:rsid w:val="00456C81"/>
    <w:rsid w:val="005211CA"/>
    <w:rsid w:val="00526023"/>
    <w:rsid w:val="00574ACB"/>
    <w:rsid w:val="005A5E41"/>
    <w:rsid w:val="005C2E1C"/>
    <w:rsid w:val="005E7689"/>
    <w:rsid w:val="00625360"/>
    <w:rsid w:val="00694E35"/>
    <w:rsid w:val="00752A86"/>
    <w:rsid w:val="00786305"/>
    <w:rsid w:val="008A0197"/>
    <w:rsid w:val="008D63A0"/>
    <w:rsid w:val="00A057A5"/>
    <w:rsid w:val="00A61018"/>
    <w:rsid w:val="00B40C73"/>
    <w:rsid w:val="00BE3653"/>
    <w:rsid w:val="00C71D5E"/>
    <w:rsid w:val="00D44387"/>
    <w:rsid w:val="00DD4970"/>
    <w:rsid w:val="00DF50D1"/>
    <w:rsid w:val="00EA7324"/>
    <w:rsid w:val="00F62CAB"/>
    <w:rsid w:val="00FB5F20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855"/>
  <w15:chartTrackingRefBased/>
  <w15:docId w15:val="{A2A246AF-A444-4B0A-8FEE-4372003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1CA"/>
  </w:style>
  <w:style w:type="paragraph" w:styleId="Heading1">
    <w:name w:val="heading 1"/>
    <w:basedOn w:val="Normal"/>
    <w:next w:val="Normal"/>
    <w:link w:val="Heading1Char"/>
    <w:uiPriority w:val="9"/>
    <w:qFormat/>
    <w:rsid w:val="001D51CA"/>
    <w:pPr>
      <w:keepNext/>
      <w:spacing w:before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1CA"/>
    <w:rPr>
      <w:b/>
    </w:rPr>
  </w:style>
  <w:style w:type="table" w:styleId="TableGrid">
    <w:name w:val="Table Grid"/>
    <w:basedOn w:val="TableNormal"/>
    <w:uiPriority w:val="39"/>
    <w:rsid w:val="0057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BE365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752A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2A86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3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2.png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20.png"/><Relationship Id="rId36" Type="http://schemas.openxmlformats.org/officeDocument/2006/relationships/image" Target="media/image2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5.bin"/><Relationship Id="rId30" Type="http://schemas.openxmlformats.org/officeDocument/2006/relationships/image" Target="media/image21.png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16</cp:revision>
  <dcterms:created xsi:type="dcterms:W3CDTF">2016-12-15T15:37:00Z</dcterms:created>
  <dcterms:modified xsi:type="dcterms:W3CDTF">2017-02-19T13:57:00Z</dcterms:modified>
</cp:coreProperties>
</file>