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87" w:rsidRDefault="002C1087" w:rsidP="002C1087">
      <w:pPr>
        <w:jc w:val="center"/>
        <w:rPr>
          <w:b/>
        </w:rPr>
      </w:pPr>
      <w:r>
        <w:rPr>
          <w:b/>
        </w:rPr>
        <w:t>TEST TUBE REACTIONS FOR TOPIC 6</w:t>
      </w:r>
    </w:p>
    <w:p w:rsidR="007A6FFE" w:rsidRPr="007A6FFE" w:rsidRDefault="007A6FFE" w:rsidP="007A6FFE">
      <w:pPr>
        <w:pStyle w:val="ListParagraph"/>
        <w:numPr>
          <w:ilvl w:val="0"/>
          <w:numId w:val="1"/>
        </w:numPr>
        <w:rPr>
          <w:b/>
        </w:rPr>
      </w:pPr>
      <w:r w:rsidRPr="007A6FFE">
        <w:rPr>
          <w:b/>
        </w:rPr>
        <w:t>Halogen Displacement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897"/>
      </w:tblGrid>
      <w:tr w:rsidR="007A6FFE" w:rsidTr="002C1087">
        <w:tc>
          <w:tcPr>
            <w:tcW w:w="1101" w:type="dxa"/>
          </w:tcPr>
          <w:p w:rsidR="007A6FFE" w:rsidRDefault="007A6FFE" w:rsidP="007A6FFE"/>
          <w:p w:rsidR="007A6FFE" w:rsidRDefault="007A6FFE" w:rsidP="007A6FFE"/>
          <w:p w:rsidR="007A6FFE" w:rsidRDefault="007A6FFE" w:rsidP="007A6FFE"/>
        </w:tc>
        <w:tc>
          <w:tcPr>
            <w:tcW w:w="2693" w:type="dxa"/>
          </w:tcPr>
          <w:p w:rsidR="007A6FFE" w:rsidRDefault="007A6FFE" w:rsidP="007A6FFE">
            <w:r>
              <w:t>Chloride</w:t>
            </w:r>
          </w:p>
        </w:tc>
        <w:tc>
          <w:tcPr>
            <w:tcW w:w="2551" w:type="dxa"/>
          </w:tcPr>
          <w:p w:rsidR="007A6FFE" w:rsidRDefault="002C1087" w:rsidP="007A6FFE">
            <w:r>
              <w:t>B</w:t>
            </w:r>
            <w:r w:rsidR="007A6FFE">
              <w:t>romide</w:t>
            </w:r>
          </w:p>
        </w:tc>
        <w:tc>
          <w:tcPr>
            <w:tcW w:w="2897" w:type="dxa"/>
          </w:tcPr>
          <w:p w:rsidR="007A6FFE" w:rsidRDefault="007A6FFE" w:rsidP="007A6FFE">
            <w:r>
              <w:t>iodide</w:t>
            </w:r>
          </w:p>
        </w:tc>
      </w:tr>
      <w:tr w:rsidR="007A6FFE" w:rsidTr="002C1087">
        <w:tc>
          <w:tcPr>
            <w:tcW w:w="1101" w:type="dxa"/>
          </w:tcPr>
          <w:p w:rsidR="007A6FFE" w:rsidRDefault="007A6FFE" w:rsidP="007A6FFE">
            <w:r>
              <w:t>Chlorine</w:t>
            </w:r>
          </w:p>
          <w:p w:rsidR="007A6FFE" w:rsidRDefault="007A6FFE" w:rsidP="007A6FFE"/>
        </w:tc>
        <w:tc>
          <w:tcPr>
            <w:tcW w:w="2693" w:type="dxa"/>
          </w:tcPr>
          <w:p w:rsidR="007A6FFE" w:rsidRDefault="007A6FFE" w:rsidP="007A6FFE"/>
        </w:tc>
        <w:tc>
          <w:tcPr>
            <w:tcW w:w="2551" w:type="dxa"/>
          </w:tcPr>
          <w:p w:rsidR="007A6FFE" w:rsidRDefault="007A6FFE" w:rsidP="007A6FFE">
            <w:r>
              <w:t>Yellow/Orange solution (orange in cyclohexane)</w:t>
            </w:r>
          </w:p>
          <w:p w:rsidR="002C1087" w:rsidRDefault="002C1087" w:rsidP="007A6FFE"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+ 2Br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 Br</w:t>
            </w:r>
            <w:r>
              <w:rPr>
                <w:vertAlign w:val="subscript"/>
              </w:rPr>
              <w:t>2</w:t>
            </w:r>
            <w:r>
              <w:t xml:space="preserve"> + 2Cl</w:t>
            </w:r>
            <w:r>
              <w:rPr>
                <w:vertAlign w:val="superscript"/>
              </w:rPr>
              <w:t>-</w:t>
            </w:r>
          </w:p>
        </w:tc>
        <w:tc>
          <w:tcPr>
            <w:tcW w:w="2897" w:type="dxa"/>
          </w:tcPr>
          <w:p w:rsidR="007A6FFE" w:rsidRDefault="007A6FFE" w:rsidP="007A6FFE">
            <w:r>
              <w:t>Yellow/Brown solution</w:t>
            </w:r>
          </w:p>
          <w:p w:rsidR="002C1087" w:rsidRDefault="007A6FFE" w:rsidP="002C1087">
            <w:r>
              <w:t>(purple in cyclohexane)</w:t>
            </w:r>
            <w:r w:rsidR="002C1087">
              <w:t xml:space="preserve"> </w:t>
            </w:r>
          </w:p>
          <w:p w:rsidR="007A6FFE" w:rsidRDefault="002C1087" w:rsidP="007A6FFE"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+ 2I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 I</w:t>
            </w:r>
            <w:r>
              <w:rPr>
                <w:vertAlign w:val="subscript"/>
              </w:rPr>
              <w:t>2</w:t>
            </w:r>
            <w:r>
              <w:t xml:space="preserve"> + 2Cl</w:t>
            </w:r>
            <w:r>
              <w:rPr>
                <w:vertAlign w:val="superscript"/>
              </w:rPr>
              <w:t>-</w:t>
            </w:r>
          </w:p>
        </w:tc>
      </w:tr>
      <w:tr w:rsidR="007A6FFE" w:rsidTr="002C1087">
        <w:tc>
          <w:tcPr>
            <w:tcW w:w="1101" w:type="dxa"/>
          </w:tcPr>
          <w:p w:rsidR="007A6FFE" w:rsidRDefault="007A6FFE" w:rsidP="007A6FFE">
            <w:r>
              <w:t>Bromine</w:t>
            </w:r>
          </w:p>
          <w:p w:rsidR="007A6FFE" w:rsidRDefault="007A6FFE" w:rsidP="007A6FFE"/>
        </w:tc>
        <w:tc>
          <w:tcPr>
            <w:tcW w:w="2693" w:type="dxa"/>
          </w:tcPr>
          <w:p w:rsidR="007A6FFE" w:rsidRDefault="007A6FFE" w:rsidP="007A6FFE">
            <w:r>
              <w:t>Yellow/Orange solution (orange in cyclohexane)</w:t>
            </w:r>
          </w:p>
          <w:p w:rsidR="002C1087" w:rsidRDefault="002C1087" w:rsidP="007A6FFE">
            <w:r>
              <w:t>No reaction</w:t>
            </w:r>
          </w:p>
        </w:tc>
        <w:tc>
          <w:tcPr>
            <w:tcW w:w="2551" w:type="dxa"/>
          </w:tcPr>
          <w:p w:rsidR="007A6FFE" w:rsidRDefault="007A6FFE" w:rsidP="007A6FFE"/>
        </w:tc>
        <w:tc>
          <w:tcPr>
            <w:tcW w:w="2897" w:type="dxa"/>
          </w:tcPr>
          <w:p w:rsidR="007A6FFE" w:rsidRDefault="007A6FFE" w:rsidP="007A6FFE">
            <w:r>
              <w:t>Yellow/Brown solution</w:t>
            </w:r>
          </w:p>
          <w:p w:rsidR="007A6FFE" w:rsidRDefault="007A6FFE" w:rsidP="007A6FFE">
            <w:r>
              <w:t>(purple in cyclohexane)</w:t>
            </w:r>
          </w:p>
          <w:p w:rsidR="002C1087" w:rsidRDefault="002C1087" w:rsidP="007A6FFE">
            <w:r>
              <w:t>Br</w:t>
            </w:r>
            <w:r>
              <w:rPr>
                <w:vertAlign w:val="subscript"/>
              </w:rPr>
              <w:t>2</w:t>
            </w:r>
            <w:r>
              <w:t xml:space="preserve"> + 2I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sym w:font="Wingdings" w:char="F0E0"/>
            </w:r>
            <w:r>
              <w:t xml:space="preserve">  I</w:t>
            </w:r>
            <w:r>
              <w:rPr>
                <w:vertAlign w:val="subscript"/>
              </w:rPr>
              <w:t>2</w:t>
            </w:r>
            <w:r>
              <w:t xml:space="preserve"> + 2Br</w:t>
            </w:r>
            <w:r>
              <w:rPr>
                <w:vertAlign w:val="superscript"/>
              </w:rPr>
              <w:t>-</w:t>
            </w:r>
          </w:p>
        </w:tc>
      </w:tr>
      <w:tr w:rsidR="007A6FFE" w:rsidTr="002C1087">
        <w:tc>
          <w:tcPr>
            <w:tcW w:w="1101" w:type="dxa"/>
          </w:tcPr>
          <w:p w:rsidR="007A6FFE" w:rsidRDefault="007A6FFE" w:rsidP="007A6FFE">
            <w:r>
              <w:t>Iodine</w:t>
            </w:r>
          </w:p>
          <w:p w:rsidR="007A6FFE" w:rsidRDefault="007A6FFE" w:rsidP="007A6FFE"/>
        </w:tc>
        <w:tc>
          <w:tcPr>
            <w:tcW w:w="2693" w:type="dxa"/>
          </w:tcPr>
          <w:p w:rsidR="007A6FFE" w:rsidRDefault="007A6FFE" w:rsidP="007A6FFE">
            <w:r>
              <w:t>Yellow/Brown solution</w:t>
            </w:r>
          </w:p>
          <w:p w:rsidR="007A6FFE" w:rsidRDefault="007A6FFE" w:rsidP="007A6FFE">
            <w:r>
              <w:t>(purple in cyclohexane)</w:t>
            </w:r>
          </w:p>
          <w:p w:rsidR="002C1087" w:rsidRDefault="002C1087" w:rsidP="007A6FFE">
            <w:r>
              <w:t>No reaction</w:t>
            </w:r>
          </w:p>
        </w:tc>
        <w:tc>
          <w:tcPr>
            <w:tcW w:w="2551" w:type="dxa"/>
          </w:tcPr>
          <w:p w:rsidR="007A6FFE" w:rsidRDefault="007A6FFE" w:rsidP="007A6FFE">
            <w:r>
              <w:t>Yellow/Brown solution</w:t>
            </w:r>
          </w:p>
          <w:p w:rsidR="007A6FFE" w:rsidRDefault="007A6FFE" w:rsidP="007A6FFE">
            <w:r>
              <w:t>(purple in cyclohexane)</w:t>
            </w:r>
          </w:p>
          <w:p w:rsidR="002C1087" w:rsidRDefault="002C1087" w:rsidP="007A6FFE">
            <w:r>
              <w:t>No reaction</w:t>
            </w:r>
          </w:p>
        </w:tc>
        <w:tc>
          <w:tcPr>
            <w:tcW w:w="2897" w:type="dxa"/>
          </w:tcPr>
          <w:p w:rsidR="007A6FFE" w:rsidRDefault="007A6FFE" w:rsidP="007A6FFE"/>
        </w:tc>
      </w:tr>
    </w:tbl>
    <w:p w:rsidR="00286BA7" w:rsidRDefault="002C1087" w:rsidP="00710CBB">
      <w:pPr>
        <w:spacing w:after="0" w:line="240" w:lineRule="auto"/>
      </w:pPr>
      <w:r>
        <w:t>T</w:t>
      </w:r>
      <w:r w:rsidR="003D7C45">
        <w:t>he more reactive halogen (</w:t>
      </w:r>
      <w:proofErr w:type="spellStart"/>
      <w:r w:rsidR="003D7C45">
        <w:t>ie</w:t>
      </w:r>
      <w:proofErr w:type="spellEnd"/>
      <w:r w:rsidR="003D7C45">
        <w:t xml:space="preserve"> the halogen with more oxidising power) is always reduced</w:t>
      </w:r>
    </w:p>
    <w:p w:rsidR="003D7C45" w:rsidRDefault="003D7C45">
      <w:r>
        <w:t>The more reactive halide (</w:t>
      </w:r>
      <w:proofErr w:type="spellStart"/>
      <w:r>
        <w:t>ie</w:t>
      </w:r>
      <w:proofErr w:type="spellEnd"/>
      <w:r>
        <w:t xml:space="preserve"> the halide with more reducing power) is always oxidised </w:t>
      </w:r>
    </w:p>
    <w:p w:rsidR="00286BA7" w:rsidRDefault="002C1087" w:rsidP="007A6F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Group 2 </w:t>
      </w:r>
      <w:r w:rsidR="007A6FFE" w:rsidRPr="007A6FFE">
        <w:rPr>
          <w:b/>
        </w:rPr>
        <w:t>Precipitation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977"/>
        <w:gridCol w:w="3118"/>
      </w:tblGrid>
      <w:tr w:rsidR="007A6FFE" w:rsidTr="00F52384">
        <w:tc>
          <w:tcPr>
            <w:tcW w:w="1101" w:type="dxa"/>
          </w:tcPr>
          <w:p w:rsidR="007A6FFE" w:rsidRDefault="002C1087" w:rsidP="00F52384">
            <w:r>
              <w:t>S</w:t>
            </w:r>
            <w:r w:rsidR="007A6FFE">
              <w:t>olution</w:t>
            </w:r>
          </w:p>
        </w:tc>
        <w:tc>
          <w:tcPr>
            <w:tcW w:w="1984" w:type="dxa"/>
          </w:tcPr>
          <w:p w:rsidR="007A6FFE" w:rsidRPr="00AD7F4E" w:rsidRDefault="007A6FFE" w:rsidP="00F52384">
            <w:pPr>
              <w:rPr>
                <w:vertAlign w:val="subscript"/>
              </w:rPr>
            </w:pPr>
            <w:r>
              <w:t>Observation on adding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977" w:type="dxa"/>
          </w:tcPr>
          <w:p w:rsidR="007A6FFE" w:rsidRDefault="007A6FFE" w:rsidP="00F52384">
            <w:r>
              <w:t>conclusion</w:t>
            </w:r>
          </w:p>
        </w:tc>
        <w:tc>
          <w:tcPr>
            <w:tcW w:w="3118" w:type="dxa"/>
          </w:tcPr>
          <w:p w:rsidR="007A6FFE" w:rsidRDefault="007A6FFE" w:rsidP="00F52384">
            <w:r>
              <w:t>Ionic equation</w:t>
            </w:r>
          </w:p>
        </w:tc>
      </w:tr>
      <w:tr w:rsidR="007A6FFE" w:rsidTr="00F52384">
        <w:tc>
          <w:tcPr>
            <w:tcW w:w="1101" w:type="dxa"/>
          </w:tcPr>
          <w:p w:rsidR="007A6FFE" w:rsidRPr="00AD7F4E" w:rsidRDefault="007A6FFE" w:rsidP="00F52384">
            <w:pPr>
              <w:rPr>
                <w:vertAlign w:val="subscript"/>
              </w:rPr>
            </w:pPr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No visible reaction</w:t>
            </w:r>
          </w:p>
          <w:p w:rsidR="007A6FFE" w:rsidRDefault="007A6FFE" w:rsidP="00F52384"/>
        </w:tc>
        <w:tc>
          <w:tcPr>
            <w:tcW w:w="2977" w:type="dxa"/>
          </w:tcPr>
          <w:p w:rsidR="007A6FFE" w:rsidRDefault="007A6FFE" w:rsidP="00F52384">
            <w:r>
              <w:t>MgSO</w:t>
            </w:r>
            <w:r>
              <w:rPr>
                <w:vertAlign w:val="subscript"/>
              </w:rPr>
              <w:t>4</w:t>
            </w:r>
            <w:r>
              <w:t xml:space="preserve"> is soluble</w:t>
            </w:r>
          </w:p>
        </w:tc>
        <w:tc>
          <w:tcPr>
            <w:tcW w:w="3118" w:type="dxa"/>
          </w:tcPr>
          <w:p w:rsidR="007A6FFE" w:rsidRDefault="007A6FFE" w:rsidP="00F52384"/>
        </w:tc>
      </w:tr>
      <w:tr w:rsidR="007A6FFE" w:rsidTr="00F52384">
        <w:tc>
          <w:tcPr>
            <w:tcW w:w="1101" w:type="dxa"/>
          </w:tcPr>
          <w:p w:rsidR="007A6FFE" w:rsidRDefault="007A6FFE" w:rsidP="00F52384">
            <w:r>
              <w:t>CaCl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No visible reaction</w:t>
            </w:r>
          </w:p>
          <w:p w:rsidR="007A6FFE" w:rsidRDefault="007A6FFE" w:rsidP="00F52384"/>
        </w:tc>
        <w:tc>
          <w:tcPr>
            <w:tcW w:w="2977" w:type="dxa"/>
          </w:tcPr>
          <w:p w:rsidR="007A6FFE" w:rsidRDefault="007A6FFE" w:rsidP="00F52384">
            <w:r>
              <w:t>CaSO</w:t>
            </w:r>
            <w:r>
              <w:rPr>
                <w:vertAlign w:val="subscript"/>
              </w:rPr>
              <w:t>4</w:t>
            </w:r>
            <w:r>
              <w:t xml:space="preserve"> is soluble</w:t>
            </w:r>
          </w:p>
        </w:tc>
        <w:tc>
          <w:tcPr>
            <w:tcW w:w="3118" w:type="dxa"/>
          </w:tcPr>
          <w:p w:rsidR="007A6FFE" w:rsidRDefault="007A6FFE" w:rsidP="00F52384"/>
        </w:tc>
      </w:tr>
      <w:tr w:rsidR="007A6FFE" w:rsidRPr="008C69C4" w:rsidTr="00F52384">
        <w:tc>
          <w:tcPr>
            <w:tcW w:w="1101" w:type="dxa"/>
          </w:tcPr>
          <w:p w:rsidR="007A6FFE" w:rsidRDefault="007A6FFE" w:rsidP="00F52384">
            <w:r>
              <w:t>SrCl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Faint white precipitate</w:t>
            </w:r>
          </w:p>
        </w:tc>
        <w:tc>
          <w:tcPr>
            <w:tcW w:w="2977" w:type="dxa"/>
          </w:tcPr>
          <w:p w:rsidR="007A6FFE" w:rsidRDefault="007A6FFE" w:rsidP="00F52384">
            <w:r>
              <w:t>SrSO</w:t>
            </w:r>
            <w:r>
              <w:rPr>
                <w:vertAlign w:val="subscript"/>
              </w:rPr>
              <w:t>4</w:t>
            </w:r>
            <w:r>
              <w:t xml:space="preserve"> is only slightly soluble</w:t>
            </w:r>
          </w:p>
        </w:tc>
        <w:tc>
          <w:tcPr>
            <w:tcW w:w="3118" w:type="dxa"/>
          </w:tcPr>
          <w:p w:rsidR="007A6FFE" w:rsidRPr="008C69C4" w:rsidRDefault="007A6FFE" w:rsidP="00F52384">
            <w:r>
              <w:t>Sr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 </w:t>
            </w:r>
            <w:r>
              <w:sym w:font="Wingdings" w:char="F0E0"/>
            </w:r>
            <w:r>
              <w:t xml:space="preserve"> SrSO</w:t>
            </w:r>
            <w:r>
              <w:rPr>
                <w:vertAlign w:val="subscript"/>
              </w:rPr>
              <w:t>4</w:t>
            </w:r>
            <w:r>
              <w:t>(s)</w:t>
            </w:r>
          </w:p>
        </w:tc>
      </w:tr>
      <w:tr w:rsidR="007A6FFE" w:rsidRPr="008C69C4" w:rsidTr="00F52384">
        <w:tc>
          <w:tcPr>
            <w:tcW w:w="1101" w:type="dxa"/>
          </w:tcPr>
          <w:p w:rsidR="007A6FFE" w:rsidRDefault="007A6FFE" w:rsidP="00F52384">
            <w:r>
              <w:t>BaCl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Thick white precipitate</w:t>
            </w:r>
          </w:p>
        </w:tc>
        <w:tc>
          <w:tcPr>
            <w:tcW w:w="2977" w:type="dxa"/>
          </w:tcPr>
          <w:p w:rsidR="007A6FFE" w:rsidRDefault="007A6FFE" w:rsidP="00F52384">
            <w:r>
              <w:t>BaSO</w:t>
            </w:r>
            <w:r>
              <w:rPr>
                <w:vertAlign w:val="subscript"/>
              </w:rPr>
              <w:t>4</w:t>
            </w:r>
            <w:r>
              <w:t xml:space="preserve"> is insoluble</w:t>
            </w:r>
          </w:p>
        </w:tc>
        <w:tc>
          <w:tcPr>
            <w:tcW w:w="3118" w:type="dxa"/>
          </w:tcPr>
          <w:p w:rsidR="007A6FFE" w:rsidRPr="008C69C4" w:rsidRDefault="007A6FFE" w:rsidP="00F52384">
            <w:r>
              <w:t>Ba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 </w:t>
            </w:r>
            <w:r>
              <w:sym w:font="Wingdings" w:char="F0E0"/>
            </w:r>
            <w:r>
              <w:t xml:space="preserve"> BaSO</w:t>
            </w:r>
            <w:r>
              <w:rPr>
                <w:vertAlign w:val="subscript"/>
              </w:rPr>
              <w:t>4</w:t>
            </w:r>
            <w:r>
              <w:t>(s)</w:t>
            </w:r>
          </w:p>
        </w:tc>
      </w:tr>
    </w:tbl>
    <w:p w:rsidR="007A6FFE" w:rsidRDefault="007A6FFE" w:rsidP="007A6FFE">
      <w:r>
        <w:t xml:space="preserve">Conclusion: The solubility of Group 2 </w:t>
      </w:r>
      <w:proofErr w:type="spellStart"/>
      <w:r>
        <w:t>sulfates</w:t>
      </w:r>
      <w:proofErr w:type="spellEnd"/>
      <w:r>
        <w:t xml:space="preserve"> decreases down the group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984"/>
        <w:gridCol w:w="2977"/>
        <w:gridCol w:w="3402"/>
      </w:tblGrid>
      <w:tr w:rsidR="007A6FFE" w:rsidTr="00F52384">
        <w:tc>
          <w:tcPr>
            <w:tcW w:w="1101" w:type="dxa"/>
          </w:tcPr>
          <w:p w:rsidR="007A6FFE" w:rsidRDefault="002C1087" w:rsidP="00F52384">
            <w:r>
              <w:t>S</w:t>
            </w:r>
            <w:r w:rsidR="007A6FFE">
              <w:t>olution</w:t>
            </w:r>
          </w:p>
        </w:tc>
        <w:tc>
          <w:tcPr>
            <w:tcW w:w="1984" w:type="dxa"/>
          </w:tcPr>
          <w:p w:rsidR="007A6FFE" w:rsidRPr="00AD7F4E" w:rsidRDefault="007A6FFE" w:rsidP="00F52384">
            <w:pPr>
              <w:rPr>
                <w:vertAlign w:val="subscript"/>
              </w:rPr>
            </w:pPr>
            <w:r>
              <w:t xml:space="preserve">Observation on adding </w:t>
            </w:r>
            <w:proofErr w:type="spellStart"/>
            <w:r>
              <w:t>NaOH</w:t>
            </w:r>
            <w:proofErr w:type="spellEnd"/>
          </w:p>
        </w:tc>
        <w:tc>
          <w:tcPr>
            <w:tcW w:w="2977" w:type="dxa"/>
          </w:tcPr>
          <w:p w:rsidR="007A6FFE" w:rsidRDefault="007A6FFE" w:rsidP="00F52384">
            <w:r>
              <w:t>conclusion</w:t>
            </w:r>
          </w:p>
        </w:tc>
        <w:tc>
          <w:tcPr>
            <w:tcW w:w="3402" w:type="dxa"/>
          </w:tcPr>
          <w:p w:rsidR="007A6FFE" w:rsidRDefault="007A6FFE" w:rsidP="00F52384">
            <w:r>
              <w:t>Ionic equation</w:t>
            </w:r>
          </w:p>
        </w:tc>
      </w:tr>
      <w:tr w:rsidR="007A6FFE" w:rsidTr="00F52384">
        <w:tc>
          <w:tcPr>
            <w:tcW w:w="1101" w:type="dxa"/>
          </w:tcPr>
          <w:p w:rsidR="007A6FFE" w:rsidRPr="00AD7F4E" w:rsidRDefault="007A6FFE" w:rsidP="00F52384">
            <w:pPr>
              <w:rPr>
                <w:vertAlign w:val="subscript"/>
              </w:rPr>
            </w:pPr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Thick white precipitate</w:t>
            </w:r>
          </w:p>
        </w:tc>
        <w:tc>
          <w:tcPr>
            <w:tcW w:w="2977" w:type="dxa"/>
          </w:tcPr>
          <w:p w:rsidR="007A6FFE" w:rsidRPr="00396D68" w:rsidRDefault="007A6FFE" w:rsidP="00F52384">
            <w:r>
              <w:t>Mg(OH)</w:t>
            </w:r>
            <w:r>
              <w:rPr>
                <w:vertAlign w:val="subscript"/>
              </w:rPr>
              <w:t>2</w:t>
            </w:r>
            <w:r>
              <w:t xml:space="preserve"> is insoluble</w:t>
            </w:r>
          </w:p>
        </w:tc>
        <w:tc>
          <w:tcPr>
            <w:tcW w:w="3402" w:type="dxa"/>
          </w:tcPr>
          <w:p w:rsidR="007A6FFE" w:rsidRDefault="007A6FFE" w:rsidP="00F52384">
            <w:r>
              <w:t>Mg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+ 2OH</w:t>
            </w:r>
            <w:r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Mg(OH)</w:t>
            </w:r>
            <w:r>
              <w:rPr>
                <w:vertAlign w:val="subscript"/>
              </w:rPr>
              <w:t>2</w:t>
            </w:r>
            <w:r>
              <w:t>(s)</w:t>
            </w:r>
          </w:p>
        </w:tc>
      </w:tr>
      <w:tr w:rsidR="007A6FFE" w:rsidTr="00F52384">
        <w:tc>
          <w:tcPr>
            <w:tcW w:w="1101" w:type="dxa"/>
          </w:tcPr>
          <w:p w:rsidR="007A6FFE" w:rsidRDefault="007A6FFE" w:rsidP="00F52384">
            <w:r>
              <w:t>CaCl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Faint white precipitate</w:t>
            </w:r>
          </w:p>
        </w:tc>
        <w:tc>
          <w:tcPr>
            <w:tcW w:w="2977" w:type="dxa"/>
          </w:tcPr>
          <w:p w:rsidR="007A6FFE" w:rsidRDefault="007A6FFE" w:rsidP="00F52384">
            <w:r>
              <w:t>Ca(OH)</w:t>
            </w:r>
            <w:r>
              <w:rPr>
                <w:vertAlign w:val="subscript"/>
              </w:rPr>
              <w:t>2</w:t>
            </w:r>
            <w:r>
              <w:t xml:space="preserve"> is only slightly soluble</w:t>
            </w:r>
          </w:p>
        </w:tc>
        <w:tc>
          <w:tcPr>
            <w:tcW w:w="3402" w:type="dxa"/>
          </w:tcPr>
          <w:p w:rsidR="007A6FFE" w:rsidRDefault="007A6FFE" w:rsidP="00F52384">
            <w:r>
              <w:t>Ca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+ 2OH</w:t>
            </w:r>
            <w:r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Ca(OH)</w:t>
            </w:r>
            <w:r>
              <w:rPr>
                <w:vertAlign w:val="subscript"/>
              </w:rPr>
              <w:t>2</w:t>
            </w:r>
            <w:r>
              <w:t>(s)</w:t>
            </w:r>
          </w:p>
        </w:tc>
      </w:tr>
      <w:tr w:rsidR="007A6FFE" w:rsidTr="00F52384">
        <w:tc>
          <w:tcPr>
            <w:tcW w:w="1101" w:type="dxa"/>
          </w:tcPr>
          <w:p w:rsidR="007A6FFE" w:rsidRDefault="007A6FFE" w:rsidP="00F52384">
            <w:r>
              <w:t>SrCl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No visible reaction</w:t>
            </w:r>
          </w:p>
          <w:p w:rsidR="007A6FFE" w:rsidRDefault="007A6FFE" w:rsidP="00F52384"/>
        </w:tc>
        <w:tc>
          <w:tcPr>
            <w:tcW w:w="2977" w:type="dxa"/>
          </w:tcPr>
          <w:p w:rsidR="007A6FFE" w:rsidRDefault="007A6FFE" w:rsidP="00F52384">
            <w:r>
              <w:t>Sr(OH)</w:t>
            </w:r>
            <w:r>
              <w:rPr>
                <w:vertAlign w:val="subscript"/>
              </w:rPr>
              <w:t>2</w:t>
            </w:r>
            <w:r>
              <w:t xml:space="preserve"> is soluble</w:t>
            </w:r>
          </w:p>
        </w:tc>
        <w:tc>
          <w:tcPr>
            <w:tcW w:w="3402" w:type="dxa"/>
          </w:tcPr>
          <w:p w:rsidR="007A6FFE" w:rsidRDefault="007A6FFE" w:rsidP="00F52384"/>
        </w:tc>
      </w:tr>
      <w:tr w:rsidR="007A6FFE" w:rsidTr="00F52384">
        <w:tc>
          <w:tcPr>
            <w:tcW w:w="1101" w:type="dxa"/>
          </w:tcPr>
          <w:p w:rsidR="007A6FFE" w:rsidRDefault="007A6FFE" w:rsidP="00F52384">
            <w:r>
              <w:t>BaCl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7A6FFE" w:rsidRDefault="007A6FFE" w:rsidP="00F52384">
            <w:r>
              <w:t>No visible reaction</w:t>
            </w:r>
          </w:p>
          <w:p w:rsidR="007A6FFE" w:rsidRDefault="007A6FFE" w:rsidP="00F52384"/>
        </w:tc>
        <w:tc>
          <w:tcPr>
            <w:tcW w:w="2977" w:type="dxa"/>
          </w:tcPr>
          <w:p w:rsidR="007A6FFE" w:rsidRDefault="007A6FFE" w:rsidP="00F52384">
            <w:r>
              <w:t>Ba(OH)</w:t>
            </w:r>
            <w:r>
              <w:rPr>
                <w:vertAlign w:val="subscript"/>
              </w:rPr>
              <w:t>2</w:t>
            </w:r>
            <w:r>
              <w:t xml:space="preserve"> is soluble</w:t>
            </w:r>
          </w:p>
        </w:tc>
        <w:tc>
          <w:tcPr>
            <w:tcW w:w="3402" w:type="dxa"/>
          </w:tcPr>
          <w:p w:rsidR="007A6FFE" w:rsidRDefault="007A6FFE" w:rsidP="00F52384"/>
        </w:tc>
      </w:tr>
    </w:tbl>
    <w:p w:rsidR="007A6FFE" w:rsidRDefault="007A6FFE" w:rsidP="007A6FFE">
      <w:r>
        <w:t>Conclusion: Solubility of Group 2 hydroxides increases down the group</w:t>
      </w:r>
    </w:p>
    <w:p w:rsidR="002C1087" w:rsidRDefault="002C1087">
      <w:pPr>
        <w:rPr>
          <w:b/>
        </w:rPr>
      </w:pPr>
      <w:r>
        <w:rPr>
          <w:b/>
        </w:rPr>
        <w:br w:type="page"/>
      </w:r>
    </w:p>
    <w:p w:rsidR="007A6FFE" w:rsidRDefault="002C1087" w:rsidP="002C10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Group 7 Precipitation Reactions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3402"/>
        <w:gridCol w:w="4820"/>
      </w:tblGrid>
      <w:tr w:rsidR="002C1087" w:rsidTr="002C1087">
        <w:tc>
          <w:tcPr>
            <w:tcW w:w="1242" w:type="dxa"/>
          </w:tcPr>
          <w:p w:rsidR="002C1087" w:rsidRPr="002C1087" w:rsidRDefault="002C1087" w:rsidP="002C1087">
            <w:r w:rsidRPr="002C1087">
              <w:t>Halide ion</w:t>
            </w:r>
          </w:p>
        </w:tc>
        <w:tc>
          <w:tcPr>
            <w:tcW w:w="3402" w:type="dxa"/>
          </w:tcPr>
          <w:p w:rsidR="002C1087" w:rsidRPr="002C1087" w:rsidRDefault="002C1087" w:rsidP="002C1087">
            <w:r w:rsidRPr="002C1087">
              <w:t>Observation on adding AgNO</w:t>
            </w:r>
            <w:r w:rsidRPr="002C1087">
              <w:rPr>
                <w:vertAlign w:val="subscript"/>
              </w:rPr>
              <w:t>3</w:t>
            </w:r>
            <w:r w:rsidRPr="002C1087">
              <w:t>(</w:t>
            </w:r>
            <w:proofErr w:type="spellStart"/>
            <w:r w:rsidRPr="002C1087">
              <w:t>aq</w:t>
            </w:r>
            <w:proofErr w:type="spellEnd"/>
            <w:r w:rsidRPr="002C1087">
              <w:t>)</w:t>
            </w:r>
          </w:p>
        </w:tc>
        <w:tc>
          <w:tcPr>
            <w:tcW w:w="4820" w:type="dxa"/>
          </w:tcPr>
          <w:p w:rsidR="002C1087" w:rsidRPr="002C1087" w:rsidRDefault="002C1087" w:rsidP="002C1087">
            <w:pPr>
              <w:rPr>
                <w:vertAlign w:val="subscript"/>
              </w:rPr>
            </w:pPr>
            <w:r w:rsidRPr="002C1087">
              <w:t>Observation on adding NH</w:t>
            </w:r>
            <w:r w:rsidRPr="002C1087">
              <w:rPr>
                <w:vertAlign w:val="subscript"/>
              </w:rPr>
              <w:t>3</w:t>
            </w:r>
          </w:p>
        </w:tc>
      </w:tr>
      <w:tr w:rsidR="002C1087" w:rsidTr="002C1087">
        <w:tc>
          <w:tcPr>
            <w:tcW w:w="1242" w:type="dxa"/>
          </w:tcPr>
          <w:p w:rsidR="002C1087" w:rsidRPr="002C1087" w:rsidRDefault="002C1087" w:rsidP="002C1087">
            <w:pPr>
              <w:rPr>
                <w:vertAlign w:val="superscript"/>
              </w:rPr>
            </w:pPr>
            <w:r w:rsidRPr="002C1087">
              <w:t>F</w:t>
            </w:r>
            <w:r w:rsidRPr="002C1087">
              <w:rPr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2C1087" w:rsidRPr="002C1087" w:rsidRDefault="002C1087" w:rsidP="002C1087">
            <w:r w:rsidRPr="002C1087">
              <w:t>No precipitate</w:t>
            </w:r>
          </w:p>
        </w:tc>
        <w:tc>
          <w:tcPr>
            <w:tcW w:w="4820" w:type="dxa"/>
          </w:tcPr>
          <w:p w:rsidR="002C1087" w:rsidRPr="002C1087" w:rsidRDefault="002C1087" w:rsidP="002C1087"/>
        </w:tc>
      </w:tr>
      <w:tr w:rsidR="002C1087" w:rsidTr="002C1087">
        <w:tc>
          <w:tcPr>
            <w:tcW w:w="1242" w:type="dxa"/>
          </w:tcPr>
          <w:p w:rsidR="002C1087" w:rsidRPr="002C1087" w:rsidRDefault="002C1087" w:rsidP="002C1087">
            <w:r w:rsidRPr="002C1087">
              <w:t>Cl</w:t>
            </w:r>
            <w:r w:rsidRPr="002C1087">
              <w:rPr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2C1087" w:rsidRDefault="002C1087" w:rsidP="002C1087">
            <w:r w:rsidRPr="002C1087">
              <w:t>White precipitate</w:t>
            </w:r>
          </w:p>
          <w:p w:rsidR="002C1087" w:rsidRPr="002C1087" w:rsidRDefault="002C1087" w:rsidP="002C1087">
            <w:r>
              <w:t>Ag</w:t>
            </w:r>
            <w:r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Cl</w:t>
            </w:r>
            <w:r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AgCl(s)</w:t>
            </w:r>
          </w:p>
        </w:tc>
        <w:tc>
          <w:tcPr>
            <w:tcW w:w="4820" w:type="dxa"/>
          </w:tcPr>
          <w:p w:rsidR="002C1087" w:rsidRPr="002C1087" w:rsidRDefault="002C1087" w:rsidP="002C1087">
            <w:r w:rsidRPr="002C1087">
              <w:t>Precipitate dissolves in dilute NH</w:t>
            </w:r>
            <w:r w:rsidRPr="002C1087">
              <w:rPr>
                <w:vertAlign w:val="subscript"/>
              </w:rPr>
              <w:t>3</w:t>
            </w:r>
          </w:p>
        </w:tc>
      </w:tr>
      <w:tr w:rsidR="002C1087" w:rsidTr="002C1087">
        <w:tc>
          <w:tcPr>
            <w:tcW w:w="1242" w:type="dxa"/>
          </w:tcPr>
          <w:p w:rsidR="002C1087" w:rsidRPr="002C1087" w:rsidRDefault="002C1087" w:rsidP="002C1087">
            <w:r w:rsidRPr="002C1087">
              <w:t>Br</w:t>
            </w:r>
            <w:r w:rsidRPr="002C1087">
              <w:rPr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2C1087" w:rsidRDefault="002C1087" w:rsidP="002C1087">
            <w:r w:rsidRPr="002C1087">
              <w:t>Cream precipitate</w:t>
            </w:r>
          </w:p>
          <w:p w:rsidR="002C1087" w:rsidRPr="002C1087" w:rsidRDefault="002C1087" w:rsidP="002C1087">
            <w:r>
              <w:t>Ag</w:t>
            </w:r>
            <w:r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Br</w:t>
            </w:r>
            <w:r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AgBr</w:t>
            </w:r>
            <w:proofErr w:type="spellEnd"/>
            <w:r>
              <w:t>(s)</w:t>
            </w:r>
          </w:p>
        </w:tc>
        <w:tc>
          <w:tcPr>
            <w:tcW w:w="4820" w:type="dxa"/>
          </w:tcPr>
          <w:p w:rsidR="002C1087" w:rsidRPr="002C1087" w:rsidRDefault="002C1087" w:rsidP="002C1087">
            <w:pPr>
              <w:rPr>
                <w:vertAlign w:val="subscript"/>
              </w:rPr>
            </w:pPr>
            <w:r w:rsidRPr="002C1087">
              <w:t>Precipitate dissolves in concentrated NH</w:t>
            </w:r>
            <w:r w:rsidRPr="002C1087">
              <w:rPr>
                <w:vertAlign w:val="subscript"/>
              </w:rPr>
              <w:t>3</w:t>
            </w:r>
            <w:r w:rsidRPr="002C1087">
              <w:t xml:space="preserve"> but not dilute NH</w:t>
            </w:r>
            <w:r w:rsidRPr="002C1087">
              <w:rPr>
                <w:vertAlign w:val="subscript"/>
              </w:rPr>
              <w:t>3</w:t>
            </w:r>
          </w:p>
        </w:tc>
      </w:tr>
      <w:tr w:rsidR="002C1087" w:rsidTr="002C1087">
        <w:tc>
          <w:tcPr>
            <w:tcW w:w="1242" w:type="dxa"/>
          </w:tcPr>
          <w:p w:rsidR="002C1087" w:rsidRPr="002C1087" w:rsidRDefault="002C1087" w:rsidP="002C1087">
            <w:r w:rsidRPr="002C1087">
              <w:t>I</w:t>
            </w:r>
            <w:r w:rsidRPr="002C1087">
              <w:rPr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2C1087" w:rsidRDefault="002C1087" w:rsidP="002C1087">
            <w:r w:rsidRPr="002C1087">
              <w:t>Yellow Precipitate</w:t>
            </w:r>
          </w:p>
          <w:p w:rsidR="002C1087" w:rsidRPr="002C1087" w:rsidRDefault="002C1087" w:rsidP="002C1087">
            <w:r>
              <w:t>Ag</w:t>
            </w:r>
            <w:r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I</w:t>
            </w:r>
            <w:r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AgI</w:t>
            </w:r>
            <w:proofErr w:type="spellEnd"/>
            <w:r>
              <w:t>(s)</w:t>
            </w:r>
          </w:p>
        </w:tc>
        <w:tc>
          <w:tcPr>
            <w:tcW w:w="4820" w:type="dxa"/>
          </w:tcPr>
          <w:p w:rsidR="002C1087" w:rsidRPr="002C1087" w:rsidRDefault="002C1087" w:rsidP="002C1087">
            <w:r w:rsidRPr="002C1087">
              <w:t>Precipitate insoluble in NH</w:t>
            </w:r>
            <w:r w:rsidRPr="002C1087">
              <w:rPr>
                <w:vertAlign w:val="subscript"/>
              </w:rPr>
              <w:t>3</w:t>
            </w:r>
          </w:p>
        </w:tc>
      </w:tr>
    </w:tbl>
    <w:p w:rsidR="002C1087" w:rsidRPr="00710CBB" w:rsidRDefault="002C1087" w:rsidP="002C1087">
      <w:bookmarkStart w:id="0" w:name="_GoBack"/>
      <w:bookmarkEnd w:id="0"/>
    </w:p>
    <w:sectPr w:rsidR="002C1087" w:rsidRPr="00710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A28"/>
    <w:multiLevelType w:val="hybridMultilevel"/>
    <w:tmpl w:val="A880D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A"/>
    <w:rsid w:val="00274B3D"/>
    <w:rsid w:val="00286BA7"/>
    <w:rsid w:val="002C1087"/>
    <w:rsid w:val="003D7C45"/>
    <w:rsid w:val="005E54DA"/>
    <w:rsid w:val="00710CBB"/>
    <w:rsid w:val="007A6FFE"/>
    <w:rsid w:val="00B8116A"/>
    <w:rsid w:val="00B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40FF"/>
  <w15:docId w15:val="{4748E52D-4132-4EE4-8F8F-7C4AAE8E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3</cp:revision>
  <dcterms:created xsi:type="dcterms:W3CDTF">2016-06-05T11:06:00Z</dcterms:created>
  <dcterms:modified xsi:type="dcterms:W3CDTF">2016-10-26T12:42:00Z</dcterms:modified>
</cp:coreProperties>
</file>